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681A" w14:textId="77777777" w:rsidR="00884CF9" w:rsidRPr="00884CF9" w:rsidRDefault="00884CF9" w:rsidP="00884CF9">
      <w:pPr>
        <w:pStyle w:val="NoSpacing"/>
        <w:jc w:val="both"/>
        <w:rPr>
          <w:rFonts w:ascii="Cambria" w:hAnsi="Cambri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5034"/>
      </w:tblGrid>
      <w:tr w:rsidR="00884CF9" w:rsidRPr="00884CF9" w14:paraId="1F533677" w14:textId="77777777">
        <w:trPr>
          <w:trHeight w:val="719"/>
        </w:trPr>
        <w:tc>
          <w:tcPr>
            <w:tcW w:w="9243" w:type="dxa"/>
            <w:gridSpan w:val="2"/>
            <w:tcBorders>
              <w:top w:val="single" w:sz="4" w:space="0" w:color="auto"/>
              <w:left w:val="single" w:sz="4" w:space="0" w:color="auto"/>
              <w:bottom w:val="single" w:sz="4" w:space="0" w:color="365F91"/>
              <w:right w:val="single" w:sz="4" w:space="0" w:color="auto"/>
            </w:tcBorders>
            <w:shd w:val="clear" w:color="auto" w:fill="B8CCE4"/>
            <w:vAlign w:val="center"/>
            <w:hideMark/>
          </w:tcPr>
          <w:p w14:paraId="0CE5AAA7" w14:textId="160C39BB" w:rsidR="00884CF9" w:rsidRPr="00884CF9" w:rsidRDefault="00884CF9" w:rsidP="0036128C">
            <w:pPr>
              <w:pStyle w:val="NoSpacing"/>
              <w:jc w:val="center"/>
              <w:rPr>
                <w:rFonts w:ascii="Cambria" w:hAnsi="Cambria"/>
                <w:b/>
                <w:bCs/>
                <w:sz w:val="20"/>
                <w:szCs w:val="20"/>
              </w:rPr>
            </w:pPr>
            <w:r w:rsidRPr="00884CF9">
              <w:rPr>
                <w:rFonts w:ascii="Cambria" w:hAnsi="Cambria"/>
                <w:b/>
                <w:bCs/>
                <w:sz w:val="20"/>
                <w:szCs w:val="20"/>
              </w:rPr>
              <w:t>IZVJEŠĆE O  SAVJETOVANJU S JAVNOŠĆU</w:t>
            </w:r>
          </w:p>
          <w:p w14:paraId="61D09026" w14:textId="1D6BF4F4" w:rsidR="00884CF9" w:rsidRPr="00884CF9" w:rsidRDefault="00884CF9" w:rsidP="0036128C">
            <w:pPr>
              <w:pStyle w:val="NoSpacing"/>
              <w:jc w:val="center"/>
              <w:rPr>
                <w:rFonts w:ascii="Cambria" w:hAnsi="Cambria"/>
                <w:b/>
                <w:bCs/>
                <w:sz w:val="20"/>
                <w:szCs w:val="20"/>
              </w:rPr>
            </w:pPr>
            <w:r w:rsidRPr="00884CF9">
              <w:rPr>
                <w:rFonts w:ascii="Cambria" w:hAnsi="Cambria"/>
                <w:b/>
                <w:bCs/>
                <w:sz w:val="20"/>
                <w:szCs w:val="20"/>
              </w:rPr>
              <w:t xml:space="preserve">U POSTUPKU DONOŠENJA ODLUKE O </w:t>
            </w:r>
            <w:r w:rsidR="0036128C">
              <w:rPr>
                <w:rFonts w:ascii="Cambria" w:hAnsi="Cambria"/>
                <w:b/>
                <w:bCs/>
                <w:sz w:val="20"/>
                <w:szCs w:val="20"/>
              </w:rPr>
              <w:t>NAČINU PRUŽANJA JAVNE USLUGE SAKUPLJANJA KOMUNALNOG OTPADA NA PODRUČJU OPĆINE DVOR</w:t>
            </w:r>
          </w:p>
          <w:p w14:paraId="1936E696" w14:textId="77777777" w:rsidR="00884CF9" w:rsidRPr="00884CF9" w:rsidRDefault="00884CF9" w:rsidP="00884CF9">
            <w:pPr>
              <w:pStyle w:val="NoSpacing"/>
              <w:jc w:val="both"/>
              <w:rPr>
                <w:rFonts w:ascii="Cambria" w:hAnsi="Cambria"/>
                <w:b/>
                <w:bCs/>
                <w:sz w:val="20"/>
                <w:szCs w:val="20"/>
              </w:rPr>
            </w:pPr>
            <w:r w:rsidRPr="00884CF9">
              <w:rPr>
                <w:rFonts w:ascii="Cambria" w:hAnsi="Cambria"/>
                <w:sz w:val="20"/>
                <w:szCs w:val="20"/>
              </w:rPr>
              <w:t>Nositelj izrade izvješća</w:t>
            </w:r>
            <w:r w:rsidRPr="00884CF9">
              <w:rPr>
                <w:rFonts w:ascii="Cambria" w:hAnsi="Cambria"/>
                <w:b/>
                <w:bCs/>
                <w:sz w:val="20"/>
                <w:szCs w:val="20"/>
              </w:rPr>
              <w:t xml:space="preserve">: Općina Dvor, Jedinstveni upravni odjel </w:t>
            </w:r>
          </w:p>
          <w:p w14:paraId="6A38C7BB" w14:textId="29006A04" w:rsidR="00884CF9" w:rsidRPr="00884CF9" w:rsidRDefault="00884CF9" w:rsidP="00884CF9">
            <w:pPr>
              <w:pStyle w:val="NoSpacing"/>
              <w:jc w:val="both"/>
              <w:rPr>
                <w:rFonts w:ascii="Cambria" w:hAnsi="Cambria"/>
                <w:sz w:val="20"/>
                <w:szCs w:val="20"/>
              </w:rPr>
            </w:pPr>
            <w:r w:rsidRPr="00884CF9">
              <w:rPr>
                <w:rFonts w:ascii="Cambria" w:hAnsi="Cambria"/>
                <w:sz w:val="20"/>
                <w:szCs w:val="20"/>
              </w:rPr>
              <w:t>Dvor, 0</w:t>
            </w:r>
            <w:r w:rsidR="0036128C">
              <w:rPr>
                <w:rFonts w:ascii="Cambria" w:hAnsi="Cambria"/>
                <w:sz w:val="20"/>
                <w:szCs w:val="20"/>
              </w:rPr>
              <w:t>7</w:t>
            </w:r>
            <w:r w:rsidRPr="00884CF9">
              <w:rPr>
                <w:rFonts w:ascii="Cambria" w:hAnsi="Cambria"/>
                <w:sz w:val="20"/>
                <w:szCs w:val="20"/>
              </w:rPr>
              <w:t>. studenog 2025.</w:t>
            </w:r>
          </w:p>
        </w:tc>
      </w:tr>
      <w:tr w:rsidR="00884CF9" w:rsidRPr="00884CF9" w14:paraId="77EAA119" w14:textId="77777777">
        <w:trPr>
          <w:trHeight w:val="777"/>
        </w:trPr>
        <w:tc>
          <w:tcPr>
            <w:tcW w:w="4077" w:type="dxa"/>
            <w:tcBorders>
              <w:top w:val="single" w:sz="4" w:space="0" w:color="365F91"/>
              <w:left w:val="single" w:sz="4" w:space="0" w:color="365F91"/>
              <w:bottom w:val="single" w:sz="4" w:space="0" w:color="365F91"/>
              <w:right w:val="single" w:sz="4" w:space="0" w:color="365F91"/>
            </w:tcBorders>
            <w:vAlign w:val="center"/>
            <w:hideMark/>
          </w:tcPr>
          <w:p w14:paraId="565D2B6D" w14:textId="77777777" w:rsidR="00884CF9" w:rsidRPr="00884CF9" w:rsidRDefault="00884CF9" w:rsidP="00884CF9">
            <w:pPr>
              <w:pStyle w:val="NoSpacing"/>
              <w:jc w:val="both"/>
              <w:rPr>
                <w:rFonts w:ascii="Cambria" w:hAnsi="Cambria"/>
                <w:b/>
                <w:bCs/>
                <w:sz w:val="20"/>
                <w:szCs w:val="20"/>
              </w:rPr>
            </w:pPr>
            <w:r w:rsidRPr="00884CF9">
              <w:rPr>
                <w:rFonts w:ascii="Cambria" w:hAnsi="Cambria"/>
                <w:b/>
                <w:bCs/>
                <w:sz w:val="20"/>
                <w:szCs w:val="20"/>
              </w:rPr>
              <w:t xml:space="preserve">Naziv akta za koji je provedeno savjetovanje s javnošću </w:t>
            </w:r>
          </w:p>
        </w:tc>
        <w:tc>
          <w:tcPr>
            <w:tcW w:w="5166" w:type="dxa"/>
            <w:tcBorders>
              <w:top w:val="single" w:sz="4" w:space="0" w:color="365F91"/>
              <w:left w:val="single" w:sz="4" w:space="0" w:color="365F91"/>
              <w:bottom w:val="single" w:sz="4" w:space="0" w:color="365F91"/>
              <w:right w:val="single" w:sz="4" w:space="0" w:color="365F91"/>
            </w:tcBorders>
            <w:vAlign w:val="center"/>
            <w:hideMark/>
          </w:tcPr>
          <w:p w14:paraId="4F57D747" w14:textId="4BFEE1ED" w:rsidR="00884CF9" w:rsidRPr="00884CF9" w:rsidRDefault="00884CF9" w:rsidP="00884CF9">
            <w:pPr>
              <w:pStyle w:val="NoSpacing"/>
              <w:rPr>
                <w:rFonts w:ascii="Cambria" w:hAnsi="Cambria"/>
                <w:bCs/>
                <w:sz w:val="20"/>
                <w:szCs w:val="20"/>
              </w:rPr>
            </w:pPr>
            <w:r w:rsidRPr="00884CF9">
              <w:rPr>
                <w:rFonts w:ascii="Cambria" w:hAnsi="Cambria"/>
                <w:bCs/>
                <w:sz w:val="20"/>
                <w:szCs w:val="20"/>
              </w:rPr>
              <w:t xml:space="preserve">Odluka o </w:t>
            </w:r>
            <w:r w:rsidR="0036128C">
              <w:rPr>
                <w:rFonts w:ascii="Cambria" w:hAnsi="Cambria"/>
                <w:bCs/>
                <w:sz w:val="20"/>
                <w:szCs w:val="20"/>
              </w:rPr>
              <w:t>načinu pružanja javne usluge sakupljanja komunalnog otpada na području općine Dvor</w:t>
            </w:r>
          </w:p>
        </w:tc>
      </w:tr>
      <w:tr w:rsidR="00884CF9" w:rsidRPr="00884CF9" w14:paraId="4F390D9F" w14:textId="77777777">
        <w:trPr>
          <w:trHeight w:val="831"/>
        </w:trPr>
        <w:tc>
          <w:tcPr>
            <w:tcW w:w="4077" w:type="dxa"/>
            <w:tcBorders>
              <w:top w:val="single" w:sz="4" w:space="0" w:color="365F91"/>
              <w:left w:val="single" w:sz="4" w:space="0" w:color="365F91"/>
              <w:bottom w:val="single" w:sz="4" w:space="0" w:color="365F91"/>
              <w:right w:val="single" w:sz="4" w:space="0" w:color="365F91"/>
            </w:tcBorders>
            <w:vAlign w:val="center"/>
            <w:hideMark/>
          </w:tcPr>
          <w:p w14:paraId="7F3321E8" w14:textId="77777777" w:rsidR="00884CF9" w:rsidRPr="00884CF9" w:rsidRDefault="00884CF9" w:rsidP="00884CF9">
            <w:pPr>
              <w:pStyle w:val="NoSpacing"/>
              <w:jc w:val="both"/>
              <w:rPr>
                <w:rFonts w:ascii="Cambria" w:hAnsi="Cambria"/>
                <w:b/>
                <w:bCs/>
                <w:sz w:val="20"/>
                <w:szCs w:val="20"/>
              </w:rPr>
            </w:pPr>
            <w:r w:rsidRPr="00884CF9">
              <w:rPr>
                <w:rFonts w:ascii="Cambria" w:hAnsi="Cambria"/>
                <w:b/>
                <w:bCs/>
                <w:sz w:val="20"/>
                <w:szCs w:val="20"/>
              </w:rPr>
              <w:t xml:space="preserve">Naziv tijela nadležnog za izradu nacrta / provedbu savjetovanja </w:t>
            </w:r>
          </w:p>
        </w:tc>
        <w:tc>
          <w:tcPr>
            <w:tcW w:w="5166" w:type="dxa"/>
            <w:tcBorders>
              <w:top w:val="single" w:sz="4" w:space="0" w:color="365F91"/>
              <w:left w:val="single" w:sz="4" w:space="0" w:color="365F91"/>
              <w:bottom w:val="single" w:sz="4" w:space="0" w:color="365F91"/>
              <w:right w:val="single" w:sz="4" w:space="0" w:color="365F91"/>
            </w:tcBorders>
            <w:vAlign w:val="center"/>
            <w:hideMark/>
          </w:tcPr>
          <w:p w14:paraId="67A8BBC9" w14:textId="77777777" w:rsidR="00884CF9" w:rsidRPr="00884CF9" w:rsidRDefault="00884CF9" w:rsidP="00884CF9">
            <w:pPr>
              <w:pStyle w:val="NoSpacing"/>
              <w:rPr>
                <w:rFonts w:ascii="Cambria" w:hAnsi="Cambria"/>
                <w:bCs/>
                <w:sz w:val="20"/>
                <w:szCs w:val="20"/>
              </w:rPr>
            </w:pPr>
            <w:r w:rsidRPr="00884CF9">
              <w:rPr>
                <w:rFonts w:ascii="Cambria" w:hAnsi="Cambria"/>
                <w:bCs/>
                <w:sz w:val="20"/>
                <w:szCs w:val="20"/>
              </w:rPr>
              <w:t>OPĆINA DVOR, Jedinstveni upravni odjel</w:t>
            </w:r>
          </w:p>
        </w:tc>
      </w:tr>
      <w:tr w:rsidR="00884CF9" w:rsidRPr="00884CF9" w14:paraId="3AEABA94" w14:textId="77777777">
        <w:trPr>
          <w:trHeight w:val="2402"/>
        </w:trPr>
        <w:tc>
          <w:tcPr>
            <w:tcW w:w="4077" w:type="dxa"/>
            <w:tcBorders>
              <w:top w:val="single" w:sz="4" w:space="0" w:color="365F91"/>
              <w:left w:val="single" w:sz="4" w:space="0" w:color="365F91"/>
              <w:bottom w:val="single" w:sz="4" w:space="0" w:color="auto"/>
              <w:right w:val="single" w:sz="4" w:space="0" w:color="365F91"/>
            </w:tcBorders>
            <w:vAlign w:val="center"/>
            <w:hideMark/>
          </w:tcPr>
          <w:p w14:paraId="5ACC736A" w14:textId="77777777" w:rsidR="00884CF9" w:rsidRPr="00884CF9" w:rsidRDefault="00884CF9" w:rsidP="00884CF9">
            <w:pPr>
              <w:pStyle w:val="NoSpacing"/>
              <w:jc w:val="both"/>
              <w:rPr>
                <w:rFonts w:ascii="Cambria" w:hAnsi="Cambria"/>
                <w:b/>
                <w:bCs/>
                <w:sz w:val="20"/>
                <w:szCs w:val="20"/>
              </w:rPr>
            </w:pPr>
            <w:r w:rsidRPr="00884CF9">
              <w:rPr>
                <w:rFonts w:ascii="Cambria" w:hAnsi="Cambria"/>
                <w:b/>
                <w:bCs/>
                <w:sz w:val="20"/>
                <w:szCs w:val="20"/>
              </w:rPr>
              <w:t>Razlozi za donošenje akta i ciljevi koji se njime žele postići uz sažetak ključnih pitanja</w:t>
            </w:r>
          </w:p>
        </w:tc>
        <w:tc>
          <w:tcPr>
            <w:tcW w:w="5166" w:type="dxa"/>
            <w:tcBorders>
              <w:top w:val="single" w:sz="4" w:space="0" w:color="365F91"/>
              <w:left w:val="single" w:sz="4" w:space="0" w:color="365F91"/>
              <w:bottom w:val="single" w:sz="4" w:space="0" w:color="365F91"/>
              <w:right w:val="single" w:sz="4" w:space="0" w:color="365F91"/>
            </w:tcBorders>
          </w:tcPr>
          <w:p w14:paraId="70747D80" w14:textId="77777777" w:rsidR="00884CF9" w:rsidRPr="00884CF9" w:rsidRDefault="00884CF9" w:rsidP="00884CF9">
            <w:pPr>
              <w:pStyle w:val="NoSpacing"/>
              <w:rPr>
                <w:rFonts w:ascii="Cambria" w:hAnsi="Cambria"/>
                <w:bCs/>
                <w:sz w:val="20"/>
                <w:szCs w:val="20"/>
              </w:rPr>
            </w:pPr>
          </w:p>
          <w:p w14:paraId="73B55783" w14:textId="77777777" w:rsidR="0036128C" w:rsidRPr="001830A1" w:rsidRDefault="0036128C" w:rsidP="0036128C">
            <w:pPr>
              <w:pStyle w:val="NoSpacing"/>
              <w:rPr>
                <w:rFonts w:ascii="Cambria" w:hAnsi="Cambria"/>
                <w:sz w:val="20"/>
                <w:szCs w:val="20"/>
              </w:rPr>
            </w:pPr>
            <w:r w:rsidRPr="001830A1">
              <w:rPr>
                <w:rFonts w:ascii="Cambria" w:hAnsi="Cambria"/>
                <w:sz w:val="20"/>
                <w:szCs w:val="20"/>
              </w:rPr>
              <w:t xml:space="preserve">Sukladno članku 66. stavku 1.  Zakona o gospodarenju otpadom („Narodne novine“ broj 84/21) Predstavničko tijelo jedinice lokalne samouprave donosi Odluku o načinu pružanja javne usluge sakupljanja komunalnog otpada. </w:t>
            </w:r>
          </w:p>
          <w:p w14:paraId="0EEB1FA6" w14:textId="77777777" w:rsidR="0036128C" w:rsidRPr="001830A1" w:rsidRDefault="0036128C" w:rsidP="0036128C">
            <w:pPr>
              <w:pStyle w:val="NoSpacing"/>
              <w:rPr>
                <w:sz w:val="20"/>
                <w:szCs w:val="20"/>
              </w:rPr>
            </w:pPr>
          </w:p>
          <w:p w14:paraId="79E4FF88" w14:textId="313542A6" w:rsidR="0036128C" w:rsidRPr="001830A1" w:rsidRDefault="0036128C" w:rsidP="0036128C">
            <w:pPr>
              <w:pStyle w:val="NoSpacing"/>
              <w:jc w:val="both"/>
              <w:rPr>
                <w:rFonts w:ascii="Cambria" w:hAnsi="Cambria"/>
                <w:sz w:val="20"/>
                <w:szCs w:val="20"/>
              </w:rPr>
            </w:pPr>
            <w:r w:rsidRPr="001830A1">
              <w:rPr>
                <w:rFonts w:ascii="Cambria" w:hAnsi="Cambria"/>
                <w:sz w:val="20"/>
                <w:szCs w:val="20"/>
              </w:rPr>
              <w:t>Odlukom o načinu pružanja javne usluge sakupljanja komunalnog otpada na području općine Dvor utvrđuju se način i uvjeti pružanja javne usluge sakupljanja komunalnog otpada putem spremnika od pojedinog korisnika te prijevoza i predaje tog otpada ovlaštenoj osobi za obradu otpada.</w:t>
            </w:r>
          </w:p>
          <w:p w14:paraId="7C2BE485" w14:textId="77777777" w:rsidR="00884CF9" w:rsidRPr="00884CF9" w:rsidRDefault="00884CF9" w:rsidP="0036128C">
            <w:pPr>
              <w:pStyle w:val="NoSpacing"/>
              <w:rPr>
                <w:rFonts w:ascii="Cambria" w:hAnsi="Cambria"/>
                <w:bCs/>
                <w:sz w:val="20"/>
                <w:szCs w:val="20"/>
              </w:rPr>
            </w:pPr>
          </w:p>
        </w:tc>
      </w:tr>
      <w:tr w:rsidR="00884CF9" w:rsidRPr="00884CF9" w14:paraId="05072499" w14:textId="77777777">
        <w:trPr>
          <w:trHeight w:val="525"/>
        </w:trPr>
        <w:tc>
          <w:tcPr>
            <w:tcW w:w="4077" w:type="dxa"/>
            <w:tcBorders>
              <w:top w:val="single" w:sz="4" w:space="0" w:color="auto"/>
              <w:left w:val="single" w:sz="4" w:space="0" w:color="365F91"/>
              <w:bottom w:val="single" w:sz="4" w:space="0" w:color="auto"/>
              <w:right w:val="single" w:sz="4" w:space="0" w:color="365F91"/>
            </w:tcBorders>
            <w:vAlign w:val="center"/>
            <w:hideMark/>
          </w:tcPr>
          <w:p w14:paraId="5A0487C5" w14:textId="77777777" w:rsidR="00884CF9" w:rsidRPr="00884CF9" w:rsidRDefault="00884CF9" w:rsidP="00884CF9">
            <w:pPr>
              <w:pStyle w:val="NoSpacing"/>
              <w:jc w:val="both"/>
              <w:rPr>
                <w:rFonts w:ascii="Cambria" w:hAnsi="Cambria"/>
                <w:b/>
                <w:bCs/>
                <w:sz w:val="20"/>
                <w:szCs w:val="20"/>
              </w:rPr>
            </w:pPr>
            <w:r w:rsidRPr="00884CF9">
              <w:rPr>
                <w:rFonts w:ascii="Cambria" w:hAnsi="Cambria"/>
                <w:b/>
                <w:bCs/>
                <w:sz w:val="20"/>
                <w:szCs w:val="20"/>
              </w:rPr>
              <w:t>Objava dokumenata za savjetovanje</w:t>
            </w:r>
          </w:p>
        </w:tc>
        <w:tc>
          <w:tcPr>
            <w:tcW w:w="5166" w:type="dxa"/>
            <w:tcBorders>
              <w:top w:val="single" w:sz="4" w:space="0" w:color="365F91"/>
              <w:left w:val="single" w:sz="4" w:space="0" w:color="365F91"/>
              <w:bottom w:val="single" w:sz="4" w:space="0" w:color="365F91"/>
              <w:right w:val="single" w:sz="4" w:space="0" w:color="365F91"/>
            </w:tcBorders>
            <w:vAlign w:val="center"/>
            <w:hideMark/>
          </w:tcPr>
          <w:p w14:paraId="7AD97FC2" w14:textId="77777777" w:rsidR="00884CF9" w:rsidRPr="00884CF9" w:rsidRDefault="00884CF9" w:rsidP="00884CF9">
            <w:pPr>
              <w:pStyle w:val="NoSpacing"/>
              <w:rPr>
                <w:rFonts w:ascii="Cambria" w:hAnsi="Cambria"/>
                <w:bCs/>
                <w:sz w:val="20"/>
                <w:szCs w:val="20"/>
              </w:rPr>
            </w:pPr>
            <w:r w:rsidRPr="00884CF9">
              <w:rPr>
                <w:rFonts w:ascii="Cambria" w:hAnsi="Cambria"/>
                <w:bCs/>
                <w:sz w:val="20"/>
                <w:szCs w:val="20"/>
              </w:rPr>
              <w:t>Poveznica: www.dvor.hr</w:t>
            </w:r>
          </w:p>
        </w:tc>
      </w:tr>
      <w:tr w:rsidR="00884CF9" w:rsidRPr="00884CF9" w14:paraId="75FA33CE" w14:textId="77777777" w:rsidTr="00827FB0">
        <w:trPr>
          <w:trHeight w:val="740"/>
        </w:trPr>
        <w:tc>
          <w:tcPr>
            <w:tcW w:w="4077" w:type="dxa"/>
            <w:tcBorders>
              <w:top w:val="single" w:sz="4" w:space="0" w:color="auto"/>
              <w:left w:val="single" w:sz="4" w:space="0" w:color="365F91"/>
              <w:bottom w:val="single" w:sz="4" w:space="0" w:color="365F91"/>
              <w:right w:val="single" w:sz="4" w:space="0" w:color="365F91"/>
            </w:tcBorders>
            <w:vAlign w:val="center"/>
            <w:hideMark/>
          </w:tcPr>
          <w:p w14:paraId="7E13C371" w14:textId="77777777" w:rsidR="00884CF9" w:rsidRPr="00884CF9" w:rsidRDefault="00884CF9" w:rsidP="00884CF9">
            <w:pPr>
              <w:pStyle w:val="NoSpacing"/>
              <w:jc w:val="both"/>
              <w:rPr>
                <w:rFonts w:ascii="Cambria" w:hAnsi="Cambria"/>
                <w:b/>
                <w:bCs/>
                <w:sz w:val="20"/>
                <w:szCs w:val="20"/>
              </w:rPr>
            </w:pPr>
            <w:r w:rsidRPr="00884CF9">
              <w:rPr>
                <w:rFonts w:ascii="Cambria" w:hAnsi="Cambria"/>
                <w:b/>
                <w:bCs/>
                <w:sz w:val="20"/>
                <w:szCs w:val="20"/>
              </w:rPr>
              <w:t>Razdoblje provedbe javnog uvida</w:t>
            </w:r>
          </w:p>
        </w:tc>
        <w:tc>
          <w:tcPr>
            <w:tcW w:w="5166" w:type="dxa"/>
            <w:tcBorders>
              <w:top w:val="single" w:sz="4" w:space="0" w:color="365F91"/>
              <w:left w:val="single" w:sz="4" w:space="0" w:color="365F91"/>
              <w:bottom w:val="single" w:sz="4" w:space="0" w:color="auto"/>
              <w:right w:val="single" w:sz="4" w:space="0" w:color="365F91"/>
            </w:tcBorders>
            <w:vAlign w:val="center"/>
            <w:hideMark/>
          </w:tcPr>
          <w:p w14:paraId="573DB94A" w14:textId="2948E5F0" w:rsidR="00884CF9" w:rsidRPr="00884CF9" w:rsidRDefault="0036128C" w:rsidP="00884CF9">
            <w:pPr>
              <w:pStyle w:val="NoSpacing"/>
              <w:rPr>
                <w:rFonts w:ascii="Cambria" w:hAnsi="Cambria"/>
                <w:bCs/>
                <w:sz w:val="20"/>
                <w:szCs w:val="20"/>
              </w:rPr>
            </w:pPr>
            <w:r>
              <w:rPr>
                <w:rFonts w:ascii="Cambria" w:hAnsi="Cambria"/>
                <w:bCs/>
                <w:sz w:val="20"/>
                <w:szCs w:val="20"/>
              </w:rPr>
              <w:t>30</w:t>
            </w:r>
            <w:r w:rsidR="00884CF9" w:rsidRPr="00884CF9">
              <w:rPr>
                <w:rFonts w:ascii="Cambria" w:hAnsi="Cambria"/>
                <w:bCs/>
                <w:sz w:val="20"/>
                <w:szCs w:val="20"/>
              </w:rPr>
              <w:t xml:space="preserve">. </w:t>
            </w:r>
            <w:r>
              <w:rPr>
                <w:rFonts w:ascii="Cambria" w:hAnsi="Cambria"/>
                <w:bCs/>
                <w:sz w:val="20"/>
                <w:szCs w:val="20"/>
              </w:rPr>
              <w:t>rujna</w:t>
            </w:r>
            <w:r w:rsidR="00884CF9" w:rsidRPr="00884CF9">
              <w:rPr>
                <w:rFonts w:ascii="Cambria" w:hAnsi="Cambria"/>
                <w:bCs/>
                <w:sz w:val="20"/>
                <w:szCs w:val="20"/>
              </w:rPr>
              <w:t xml:space="preserve"> do </w:t>
            </w:r>
            <w:r>
              <w:rPr>
                <w:rFonts w:ascii="Cambria" w:hAnsi="Cambria"/>
                <w:bCs/>
                <w:sz w:val="20"/>
                <w:szCs w:val="20"/>
              </w:rPr>
              <w:t>31</w:t>
            </w:r>
            <w:r w:rsidR="00884CF9" w:rsidRPr="00884CF9">
              <w:rPr>
                <w:rFonts w:ascii="Cambria" w:hAnsi="Cambria"/>
                <w:bCs/>
                <w:sz w:val="20"/>
                <w:szCs w:val="20"/>
              </w:rPr>
              <w:t xml:space="preserve">. </w:t>
            </w:r>
            <w:r>
              <w:rPr>
                <w:rFonts w:ascii="Cambria" w:hAnsi="Cambria"/>
                <w:bCs/>
                <w:sz w:val="20"/>
                <w:szCs w:val="20"/>
              </w:rPr>
              <w:t>listopada</w:t>
            </w:r>
            <w:r w:rsidR="00884CF9" w:rsidRPr="00884CF9">
              <w:rPr>
                <w:rFonts w:ascii="Cambria" w:hAnsi="Cambria"/>
                <w:bCs/>
                <w:sz w:val="20"/>
                <w:szCs w:val="20"/>
              </w:rPr>
              <w:t xml:space="preserve"> 2025. godine</w:t>
            </w:r>
          </w:p>
        </w:tc>
      </w:tr>
      <w:tr w:rsidR="00884CF9" w:rsidRPr="00884CF9" w14:paraId="66E8DFF0" w14:textId="77777777">
        <w:trPr>
          <w:trHeight w:val="2183"/>
        </w:trPr>
        <w:tc>
          <w:tcPr>
            <w:tcW w:w="4077" w:type="dxa"/>
            <w:tcBorders>
              <w:top w:val="single" w:sz="4" w:space="0" w:color="365F91"/>
              <w:left w:val="single" w:sz="4" w:space="0" w:color="365F91"/>
              <w:bottom w:val="single" w:sz="4" w:space="0" w:color="365F91"/>
              <w:right w:val="single" w:sz="4" w:space="0" w:color="365F91"/>
            </w:tcBorders>
            <w:vAlign w:val="center"/>
            <w:hideMark/>
          </w:tcPr>
          <w:p w14:paraId="1AA26391" w14:textId="77777777" w:rsidR="00884CF9" w:rsidRPr="00884CF9" w:rsidRDefault="00884CF9" w:rsidP="00A71158">
            <w:pPr>
              <w:pStyle w:val="NoSpacing"/>
              <w:rPr>
                <w:rFonts w:ascii="Cambria" w:hAnsi="Cambria"/>
                <w:b/>
                <w:bCs/>
                <w:sz w:val="20"/>
                <w:szCs w:val="20"/>
              </w:rPr>
            </w:pPr>
            <w:r w:rsidRPr="00884CF9">
              <w:rPr>
                <w:rFonts w:ascii="Cambria" w:hAnsi="Cambria"/>
                <w:b/>
                <w:bCs/>
                <w:sz w:val="20"/>
                <w:szCs w:val="20"/>
              </w:rPr>
              <w:t>Pregled osnovnih pokazatelja  uključenosti u savjetovanje s javnošću</w:t>
            </w:r>
          </w:p>
        </w:tc>
        <w:tc>
          <w:tcPr>
            <w:tcW w:w="5166" w:type="dxa"/>
            <w:tcBorders>
              <w:top w:val="single" w:sz="4" w:space="0" w:color="365F91"/>
              <w:left w:val="single" w:sz="4" w:space="0" w:color="365F91"/>
              <w:bottom w:val="single" w:sz="4" w:space="0" w:color="365F91"/>
              <w:right w:val="single" w:sz="4" w:space="0" w:color="365F91"/>
            </w:tcBorders>
          </w:tcPr>
          <w:p w14:paraId="62D283B8" w14:textId="77777777" w:rsidR="00884CF9" w:rsidRPr="00884CF9" w:rsidRDefault="00884CF9" w:rsidP="00884CF9">
            <w:pPr>
              <w:pStyle w:val="NoSpacing"/>
              <w:jc w:val="both"/>
              <w:rPr>
                <w:rFonts w:ascii="Cambria" w:hAnsi="Cambria"/>
                <w:sz w:val="20"/>
                <w:szCs w:val="20"/>
              </w:rPr>
            </w:pPr>
          </w:p>
          <w:p w14:paraId="41142613" w14:textId="77777777" w:rsidR="00884CF9" w:rsidRPr="00884CF9" w:rsidRDefault="00884CF9" w:rsidP="00884CF9">
            <w:pPr>
              <w:pStyle w:val="NoSpacing"/>
              <w:jc w:val="both"/>
              <w:rPr>
                <w:rFonts w:ascii="Cambria" w:hAnsi="Cambria"/>
                <w:sz w:val="20"/>
                <w:szCs w:val="20"/>
              </w:rPr>
            </w:pPr>
          </w:p>
          <w:p w14:paraId="6582D316" w14:textId="604233AC" w:rsidR="00884CF9" w:rsidRPr="00884CF9" w:rsidRDefault="00884CF9" w:rsidP="0036128C">
            <w:pPr>
              <w:pStyle w:val="NoSpacing"/>
              <w:jc w:val="both"/>
              <w:rPr>
                <w:rFonts w:ascii="Cambria" w:hAnsi="Cambria"/>
                <w:sz w:val="20"/>
                <w:szCs w:val="20"/>
              </w:rPr>
            </w:pPr>
            <w:r w:rsidRPr="00884CF9">
              <w:rPr>
                <w:rFonts w:ascii="Cambria" w:hAnsi="Cambria"/>
                <w:sz w:val="20"/>
                <w:szCs w:val="20"/>
              </w:rPr>
              <w:t xml:space="preserve">Tijekom trajanja savjetovanja s javnošću </w:t>
            </w:r>
            <w:r w:rsidR="00827FB0">
              <w:rPr>
                <w:rFonts w:ascii="Cambria" w:hAnsi="Cambria"/>
                <w:sz w:val="20"/>
                <w:szCs w:val="20"/>
              </w:rPr>
              <w:t>jedan predlagatelj dostavio je sedam</w:t>
            </w:r>
            <w:r w:rsidR="0036128C">
              <w:rPr>
                <w:rFonts w:ascii="Cambria" w:hAnsi="Cambria"/>
                <w:sz w:val="20"/>
                <w:szCs w:val="20"/>
              </w:rPr>
              <w:t xml:space="preserve"> prijedlog</w:t>
            </w:r>
            <w:r w:rsidR="00827FB0">
              <w:rPr>
                <w:rFonts w:ascii="Cambria" w:hAnsi="Cambria"/>
                <w:sz w:val="20"/>
                <w:szCs w:val="20"/>
              </w:rPr>
              <w:t>a</w:t>
            </w:r>
            <w:r w:rsidR="0036128C">
              <w:rPr>
                <w:rFonts w:ascii="Cambria" w:hAnsi="Cambria"/>
                <w:sz w:val="20"/>
                <w:szCs w:val="20"/>
              </w:rPr>
              <w:t xml:space="preserve"> za izmjenu određenih članaka Odluke o načinu </w:t>
            </w:r>
            <w:r w:rsidR="0036128C">
              <w:rPr>
                <w:rFonts w:ascii="Cambria" w:hAnsi="Cambria"/>
                <w:bCs/>
                <w:sz w:val="20"/>
                <w:szCs w:val="20"/>
              </w:rPr>
              <w:t>pružanja javne usluge sakupljanja komunalnog otpada na području općine Dvor</w:t>
            </w:r>
            <w:r w:rsidR="00827FB0">
              <w:rPr>
                <w:rFonts w:ascii="Cambria" w:hAnsi="Cambria"/>
                <w:bCs/>
                <w:sz w:val="20"/>
                <w:szCs w:val="20"/>
              </w:rPr>
              <w:t xml:space="preserve">. Predlagatelj izmjena je </w:t>
            </w:r>
            <w:r w:rsidR="0036128C">
              <w:rPr>
                <w:rFonts w:ascii="Cambria" w:hAnsi="Cambria"/>
                <w:sz w:val="20"/>
                <w:szCs w:val="20"/>
              </w:rPr>
              <w:t xml:space="preserve">pružatelj javne usluge </w:t>
            </w:r>
            <w:r w:rsidR="00827FB0">
              <w:rPr>
                <w:rFonts w:ascii="Cambria" w:hAnsi="Cambria"/>
                <w:sz w:val="20"/>
                <w:szCs w:val="20"/>
              </w:rPr>
              <w:t xml:space="preserve">sakupljanja komunalnog otpada </w:t>
            </w:r>
            <w:r w:rsidR="0036128C">
              <w:rPr>
                <w:rFonts w:ascii="Cambria" w:hAnsi="Cambria"/>
                <w:sz w:val="20"/>
                <w:szCs w:val="20"/>
              </w:rPr>
              <w:t xml:space="preserve">DVORKOM d.o.o. </w:t>
            </w:r>
          </w:p>
        </w:tc>
      </w:tr>
      <w:tr w:rsidR="00884CF9" w:rsidRPr="00884CF9" w14:paraId="51528777" w14:textId="77777777">
        <w:tc>
          <w:tcPr>
            <w:tcW w:w="4077" w:type="dxa"/>
            <w:tcBorders>
              <w:top w:val="single" w:sz="4" w:space="0" w:color="365F91"/>
              <w:left w:val="single" w:sz="4" w:space="0" w:color="365F91"/>
              <w:bottom w:val="single" w:sz="4" w:space="0" w:color="365F91"/>
              <w:right w:val="single" w:sz="4" w:space="0" w:color="365F91"/>
            </w:tcBorders>
            <w:vAlign w:val="center"/>
            <w:hideMark/>
          </w:tcPr>
          <w:p w14:paraId="0EE3D813" w14:textId="77777777" w:rsidR="00884CF9" w:rsidRPr="00884CF9" w:rsidRDefault="00884CF9" w:rsidP="00884CF9">
            <w:pPr>
              <w:pStyle w:val="NoSpacing"/>
              <w:jc w:val="both"/>
              <w:rPr>
                <w:rFonts w:ascii="Cambria" w:hAnsi="Cambria"/>
                <w:b/>
                <w:bCs/>
                <w:sz w:val="20"/>
                <w:szCs w:val="20"/>
              </w:rPr>
            </w:pPr>
            <w:r w:rsidRPr="00884CF9">
              <w:rPr>
                <w:rFonts w:ascii="Cambria" w:hAnsi="Cambria"/>
                <w:b/>
                <w:bCs/>
                <w:sz w:val="20"/>
                <w:szCs w:val="20"/>
              </w:rPr>
              <w:t xml:space="preserve">Pregled prihvaćenih i neprihvaćenih mišljenja i prijedloga s obrazloženjem razloga za neprihvaćanje </w:t>
            </w:r>
          </w:p>
        </w:tc>
        <w:tc>
          <w:tcPr>
            <w:tcW w:w="5166" w:type="dxa"/>
            <w:tcBorders>
              <w:top w:val="single" w:sz="4" w:space="0" w:color="365F91"/>
              <w:left w:val="single" w:sz="4" w:space="0" w:color="365F91"/>
              <w:bottom w:val="single" w:sz="4" w:space="0" w:color="365F91"/>
              <w:right w:val="single" w:sz="4" w:space="0" w:color="365F91"/>
            </w:tcBorders>
            <w:vAlign w:val="center"/>
            <w:hideMark/>
          </w:tcPr>
          <w:p w14:paraId="4BEE09A5" w14:textId="77777777" w:rsidR="00A71158" w:rsidRPr="00A71158" w:rsidRDefault="00A71158" w:rsidP="00A71158">
            <w:pPr>
              <w:pStyle w:val="NoSpacing"/>
              <w:jc w:val="both"/>
              <w:rPr>
                <w:rFonts w:ascii="Cambria" w:hAnsi="Cambria"/>
                <w:i/>
                <w:iCs/>
                <w:sz w:val="20"/>
                <w:szCs w:val="20"/>
              </w:rPr>
            </w:pPr>
            <w:r w:rsidRPr="00A71158">
              <w:rPr>
                <w:rFonts w:ascii="Cambria" w:hAnsi="Cambria"/>
                <w:i/>
                <w:iCs/>
                <w:sz w:val="20"/>
                <w:szCs w:val="20"/>
              </w:rPr>
              <w:t>Prijedlog 1)</w:t>
            </w:r>
          </w:p>
          <w:p w14:paraId="3CF7C9C3" w14:textId="54834B56" w:rsidR="00A71158" w:rsidRDefault="00A71158" w:rsidP="00A71158">
            <w:pPr>
              <w:pStyle w:val="NoSpacing"/>
              <w:jc w:val="both"/>
              <w:rPr>
                <w:rFonts w:ascii="Cambria" w:hAnsi="Cambria"/>
                <w:sz w:val="20"/>
                <w:szCs w:val="20"/>
              </w:rPr>
            </w:pPr>
            <w:r w:rsidRPr="00A71158">
              <w:rPr>
                <w:rFonts w:ascii="Cambria" w:hAnsi="Cambria"/>
                <w:sz w:val="20"/>
                <w:szCs w:val="20"/>
              </w:rPr>
              <w:t>U članku 1. Odluke potrebno je ispraviti redne brojeve od točke 17. na dalje</w:t>
            </w:r>
          </w:p>
          <w:p w14:paraId="1CF6A4CA" w14:textId="1E55A9B0" w:rsidR="00A71158" w:rsidRPr="00165B63" w:rsidRDefault="00165B63" w:rsidP="00A71158">
            <w:pPr>
              <w:pStyle w:val="NoSpacing"/>
              <w:jc w:val="both"/>
              <w:rPr>
                <w:rFonts w:ascii="Cambria" w:hAnsi="Cambria"/>
                <w:sz w:val="20"/>
                <w:szCs w:val="20"/>
                <w:u w:val="single"/>
              </w:rPr>
            </w:pPr>
            <w:r>
              <w:rPr>
                <w:rFonts w:ascii="Cambria" w:hAnsi="Cambria"/>
                <w:sz w:val="20"/>
                <w:szCs w:val="20"/>
                <w:u w:val="single"/>
              </w:rPr>
              <w:t>Prijedlog se p</w:t>
            </w:r>
            <w:r w:rsidR="00A71158" w:rsidRPr="00165B63">
              <w:rPr>
                <w:rFonts w:ascii="Cambria" w:hAnsi="Cambria"/>
                <w:sz w:val="20"/>
                <w:szCs w:val="20"/>
                <w:u w:val="single"/>
              </w:rPr>
              <w:t>rihvaća</w:t>
            </w:r>
            <w:r>
              <w:rPr>
                <w:rFonts w:ascii="Cambria" w:hAnsi="Cambria"/>
                <w:sz w:val="20"/>
                <w:szCs w:val="20"/>
                <w:u w:val="single"/>
              </w:rPr>
              <w:t>.</w:t>
            </w:r>
          </w:p>
          <w:p w14:paraId="110D6931" w14:textId="4388A191" w:rsidR="00A71158" w:rsidRPr="00A71158" w:rsidRDefault="00A71158" w:rsidP="00A71158">
            <w:pPr>
              <w:pStyle w:val="NoSpacing"/>
              <w:jc w:val="both"/>
              <w:rPr>
                <w:rFonts w:ascii="Cambria" w:hAnsi="Cambria"/>
                <w:i/>
                <w:iCs/>
                <w:sz w:val="20"/>
                <w:szCs w:val="20"/>
              </w:rPr>
            </w:pPr>
            <w:r w:rsidRPr="00A71158">
              <w:rPr>
                <w:rFonts w:ascii="Cambria" w:hAnsi="Cambria"/>
                <w:i/>
                <w:iCs/>
                <w:sz w:val="20"/>
                <w:szCs w:val="20"/>
              </w:rPr>
              <w:t>Prijedlog 2)</w:t>
            </w:r>
          </w:p>
          <w:p w14:paraId="62DC76B3" w14:textId="7DA1A304" w:rsidR="00A71158" w:rsidRPr="00FE4ABE" w:rsidRDefault="00A71158" w:rsidP="00A71158">
            <w:pPr>
              <w:pStyle w:val="NoSpacing"/>
              <w:jc w:val="both"/>
              <w:rPr>
                <w:rFonts w:ascii="Cambria" w:hAnsi="Cambria"/>
                <w:sz w:val="20"/>
                <w:szCs w:val="20"/>
              </w:rPr>
            </w:pPr>
            <w:r w:rsidRPr="00FE4ABE">
              <w:rPr>
                <w:rFonts w:ascii="Cambria" w:hAnsi="Cambria"/>
                <w:sz w:val="20"/>
                <w:szCs w:val="20"/>
              </w:rPr>
              <w:t xml:space="preserve">Članak 7., stavak 2., podstavak 3. potrebno je ispraviti na način da glasi: </w:t>
            </w:r>
          </w:p>
          <w:p w14:paraId="1EF3ADCC" w14:textId="77777777" w:rsidR="00884CF9" w:rsidRDefault="00A71158" w:rsidP="00A71158">
            <w:pPr>
              <w:pStyle w:val="NoSpacing"/>
              <w:jc w:val="both"/>
              <w:rPr>
                <w:rFonts w:ascii="Cambria" w:hAnsi="Cambria"/>
                <w:sz w:val="20"/>
                <w:szCs w:val="20"/>
              </w:rPr>
            </w:pPr>
            <w:r w:rsidRPr="00FE4ABE">
              <w:rPr>
                <w:rFonts w:ascii="Cambria" w:hAnsi="Cambria"/>
                <w:sz w:val="20"/>
                <w:szCs w:val="20"/>
              </w:rPr>
              <w:t xml:space="preserve">• spremnici zapremine </w:t>
            </w:r>
            <w:r w:rsidRPr="00A000B4">
              <w:rPr>
                <w:rFonts w:ascii="Cambria" w:hAnsi="Cambria"/>
                <w:sz w:val="20"/>
                <w:szCs w:val="20"/>
              </w:rPr>
              <w:t>240 litara i 1.100 litara</w:t>
            </w:r>
            <w:r w:rsidRPr="00FE4ABE">
              <w:rPr>
                <w:rFonts w:ascii="Cambria" w:hAnsi="Cambria"/>
                <w:b/>
                <w:bCs/>
                <w:sz w:val="20"/>
                <w:szCs w:val="20"/>
              </w:rPr>
              <w:t xml:space="preserve"> </w:t>
            </w:r>
            <w:r w:rsidRPr="00FE4ABE">
              <w:rPr>
                <w:rFonts w:ascii="Cambria" w:hAnsi="Cambria"/>
                <w:sz w:val="20"/>
                <w:szCs w:val="20"/>
              </w:rPr>
              <w:t xml:space="preserve">koriste se za sakupljanje komunalnog otpada kod korisnika koji </w:t>
            </w:r>
            <w:r w:rsidRPr="00A000B4">
              <w:rPr>
                <w:rFonts w:ascii="Cambria" w:hAnsi="Cambria"/>
                <w:sz w:val="20"/>
                <w:szCs w:val="20"/>
              </w:rPr>
              <w:t>nije kućanstvo</w:t>
            </w:r>
            <w:r w:rsidRPr="00FE4ABE">
              <w:rPr>
                <w:rFonts w:ascii="Cambria" w:hAnsi="Cambria"/>
                <w:sz w:val="20"/>
                <w:szCs w:val="20"/>
              </w:rPr>
              <w:t>, a kod korisnika kategorije kućanstvo samo u slučaju iznimne potrebe, u dogovoru između korisnika i davatelja javne usluge i naplatu prema Cjeniku davatelja javne usluge</w:t>
            </w:r>
          </w:p>
          <w:p w14:paraId="005019F5" w14:textId="202CDB4E" w:rsidR="00A71158" w:rsidRPr="00165B63" w:rsidRDefault="00165B63" w:rsidP="00A71158">
            <w:pPr>
              <w:pStyle w:val="NoSpacing"/>
              <w:jc w:val="both"/>
              <w:rPr>
                <w:rFonts w:ascii="Cambria" w:hAnsi="Cambria"/>
                <w:bCs/>
                <w:sz w:val="20"/>
                <w:szCs w:val="20"/>
                <w:u w:val="single"/>
              </w:rPr>
            </w:pPr>
            <w:r>
              <w:rPr>
                <w:rFonts w:ascii="Cambria" w:hAnsi="Cambria"/>
                <w:bCs/>
                <w:sz w:val="20"/>
                <w:szCs w:val="20"/>
                <w:u w:val="single"/>
              </w:rPr>
              <w:t>Prijedlog se p</w:t>
            </w:r>
            <w:r w:rsidR="00A71158" w:rsidRPr="00165B63">
              <w:rPr>
                <w:rFonts w:ascii="Cambria" w:hAnsi="Cambria"/>
                <w:bCs/>
                <w:sz w:val="20"/>
                <w:szCs w:val="20"/>
                <w:u w:val="single"/>
              </w:rPr>
              <w:t>rihvaća</w:t>
            </w:r>
            <w:r>
              <w:rPr>
                <w:rFonts w:ascii="Cambria" w:hAnsi="Cambria"/>
                <w:bCs/>
                <w:sz w:val="20"/>
                <w:szCs w:val="20"/>
                <w:u w:val="single"/>
              </w:rPr>
              <w:t>.</w:t>
            </w:r>
            <w:r w:rsidR="00A71158" w:rsidRPr="00165B63">
              <w:rPr>
                <w:rFonts w:ascii="Cambria" w:hAnsi="Cambria"/>
                <w:bCs/>
                <w:sz w:val="20"/>
                <w:szCs w:val="20"/>
                <w:u w:val="single"/>
              </w:rPr>
              <w:t xml:space="preserve"> </w:t>
            </w:r>
          </w:p>
          <w:p w14:paraId="1ABFD550" w14:textId="77777777" w:rsidR="00A71158" w:rsidRDefault="00A71158" w:rsidP="00A71158">
            <w:pPr>
              <w:pStyle w:val="NoSpacing"/>
              <w:jc w:val="both"/>
              <w:rPr>
                <w:rFonts w:ascii="Cambria" w:hAnsi="Cambria"/>
                <w:bCs/>
                <w:i/>
                <w:iCs/>
                <w:sz w:val="20"/>
                <w:szCs w:val="20"/>
              </w:rPr>
            </w:pPr>
            <w:r w:rsidRPr="00A71158">
              <w:rPr>
                <w:rFonts w:ascii="Cambria" w:hAnsi="Cambria"/>
                <w:bCs/>
                <w:i/>
                <w:iCs/>
                <w:sz w:val="20"/>
                <w:szCs w:val="20"/>
              </w:rPr>
              <w:t>Prijedlog 3)</w:t>
            </w:r>
          </w:p>
          <w:p w14:paraId="2AF00C71" w14:textId="77777777" w:rsidR="00A71158" w:rsidRDefault="00A71158" w:rsidP="00A71158">
            <w:pPr>
              <w:pStyle w:val="NoSpacing"/>
              <w:jc w:val="both"/>
              <w:rPr>
                <w:rFonts w:ascii="Cambria" w:hAnsi="Cambria"/>
                <w:sz w:val="20"/>
                <w:szCs w:val="20"/>
              </w:rPr>
            </w:pPr>
            <w:r w:rsidRPr="00A71158">
              <w:rPr>
                <w:rFonts w:ascii="Cambria" w:hAnsi="Cambria"/>
                <w:sz w:val="20"/>
                <w:szCs w:val="20"/>
              </w:rPr>
              <w:t xml:space="preserve">Predlaže se brisanje članka 23. jer odredba o umanjenju cijene minimalne javne usluge za 1,00 euro korisnicima </w:t>
            </w:r>
            <w:r w:rsidRPr="00A71158">
              <w:rPr>
                <w:rFonts w:ascii="Cambria" w:hAnsi="Cambria"/>
                <w:sz w:val="20"/>
                <w:szCs w:val="20"/>
              </w:rPr>
              <w:lastRenderedPageBreak/>
              <w:t>stambenih zgrada, koji pravo na uslugu glomaznog otpada koriste kao zajedničku uslugu, stvara nepravedan i neujednačen položaj</w:t>
            </w:r>
          </w:p>
          <w:p w14:paraId="13A5DFF8" w14:textId="5164F6AB" w:rsidR="00A71158" w:rsidRPr="00165B63" w:rsidRDefault="00A71158" w:rsidP="00A71158">
            <w:pPr>
              <w:pStyle w:val="NoSpacing"/>
              <w:jc w:val="both"/>
              <w:rPr>
                <w:rFonts w:ascii="Cambria" w:hAnsi="Cambria"/>
                <w:bCs/>
                <w:color w:val="EE0000"/>
                <w:sz w:val="20"/>
                <w:szCs w:val="20"/>
              </w:rPr>
            </w:pPr>
            <w:r w:rsidRPr="00165B63">
              <w:rPr>
                <w:rFonts w:ascii="Cambria" w:hAnsi="Cambria"/>
                <w:bCs/>
                <w:color w:val="EE0000"/>
                <w:sz w:val="20"/>
                <w:szCs w:val="20"/>
              </w:rPr>
              <w:t xml:space="preserve">Prijedlog se </w:t>
            </w:r>
            <w:r w:rsidR="00A87BB0">
              <w:rPr>
                <w:rFonts w:ascii="Cambria" w:hAnsi="Cambria"/>
                <w:bCs/>
                <w:color w:val="EE0000"/>
                <w:sz w:val="20"/>
                <w:szCs w:val="20"/>
              </w:rPr>
              <w:t xml:space="preserve">ne prihvaća, </w:t>
            </w:r>
            <w:r w:rsidR="00DA75AF">
              <w:rPr>
                <w:rFonts w:ascii="Cambria" w:hAnsi="Cambria"/>
                <w:bCs/>
                <w:color w:val="EE0000"/>
                <w:sz w:val="20"/>
                <w:szCs w:val="20"/>
              </w:rPr>
              <w:t>buduć</w:t>
            </w:r>
            <w:r w:rsidR="00827FB0">
              <w:rPr>
                <w:rFonts w:ascii="Cambria" w:hAnsi="Cambria"/>
                <w:bCs/>
                <w:color w:val="EE0000"/>
                <w:sz w:val="20"/>
                <w:szCs w:val="20"/>
              </w:rPr>
              <w:t>i</w:t>
            </w:r>
            <w:r w:rsidR="00DA75AF">
              <w:rPr>
                <w:rFonts w:ascii="Cambria" w:hAnsi="Cambria"/>
                <w:bCs/>
                <w:color w:val="EE0000"/>
                <w:sz w:val="20"/>
                <w:szCs w:val="20"/>
              </w:rPr>
              <w:t xml:space="preserve"> je svrha ove odredbe poticanje što većeg broja korisnika stambene zgrade na jednokratno korištenje usluge odvoza</w:t>
            </w:r>
            <w:r w:rsidR="00827FB0">
              <w:rPr>
                <w:rFonts w:ascii="Cambria" w:hAnsi="Cambria"/>
                <w:bCs/>
                <w:color w:val="EE0000"/>
                <w:sz w:val="20"/>
                <w:szCs w:val="20"/>
              </w:rPr>
              <w:t xml:space="preserve"> glomaznog</w:t>
            </w:r>
            <w:r w:rsidR="00DA75AF">
              <w:rPr>
                <w:rFonts w:ascii="Cambria" w:hAnsi="Cambria"/>
                <w:bCs/>
                <w:color w:val="EE0000"/>
                <w:sz w:val="20"/>
                <w:szCs w:val="20"/>
              </w:rPr>
              <w:t xml:space="preserve"> otpada čime će se povećati efikasnost i smanjiti troškovi odvoza otpada. Minimalnim smanjenjem računa s</w:t>
            </w:r>
            <w:r w:rsidR="00A87BB0">
              <w:rPr>
                <w:rFonts w:ascii="Cambria" w:hAnsi="Cambria"/>
                <w:bCs/>
                <w:color w:val="EE0000"/>
                <w:sz w:val="20"/>
                <w:szCs w:val="20"/>
              </w:rPr>
              <w:t>manjuje</w:t>
            </w:r>
            <w:r w:rsidR="00DA75AF">
              <w:rPr>
                <w:rFonts w:ascii="Cambria" w:hAnsi="Cambria"/>
                <w:bCs/>
                <w:color w:val="EE0000"/>
                <w:sz w:val="20"/>
                <w:szCs w:val="20"/>
              </w:rPr>
              <w:t xml:space="preserve"> se</w:t>
            </w:r>
            <w:r w:rsidR="00A87BB0">
              <w:rPr>
                <w:rFonts w:ascii="Cambria" w:hAnsi="Cambria"/>
                <w:bCs/>
                <w:color w:val="EE0000"/>
                <w:sz w:val="20"/>
                <w:szCs w:val="20"/>
              </w:rPr>
              <w:t xml:space="preserve"> broj odvoza glomaznog otpada sa iste lokacije, te trajanje zadržavanja glomaznog otpada na javnoj površini.</w:t>
            </w:r>
          </w:p>
          <w:p w14:paraId="0F1760AD" w14:textId="77777777" w:rsidR="00A71158" w:rsidRDefault="00A71158" w:rsidP="00A71158">
            <w:pPr>
              <w:pStyle w:val="NoSpacing"/>
              <w:jc w:val="both"/>
              <w:rPr>
                <w:rFonts w:ascii="Cambria" w:hAnsi="Cambria"/>
                <w:bCs/>
                <w:sz w:val="20"/>
                <w:szCs w:val="20"/>
              </w:rPr>
            </w:pPr>
            <w:r>
              <w:rPr>
                <w:rFonts w:ascii="Cambria" w:hAnsi="Cambria"/>
                <w:bCs/>
                <w:i/>
                <w:iCs/>
                <w:sz w:val="20"/>
                <w:szCs w:val="20"/>
              </w:rPr>
              <w:t xml:space="preserve">Prijedlog 4) </w:t>
            </w:r>
          </w:p>
          <w:p w14:paraId="6579D1FC" w14:textId="15C07036" w:rsidR="00A71158" w:rsidRDefault="00A71158" w:rsidP="00A71158">
            <w:pPr>
              <w:pStyle w:val="NoSpacing"/>
              <w:jc w:val="both"/>
              <w:rPr>
                <w:rFonts w:ascii="Cambria" w:hAnsi="Cambria"/>
                <w:sz w:val="20"/>
                <w:szCs w:val="20"/>
              </w:rPr>
            </w:pPr>
            <w:r w:rsidRPr="006650A8">
              <w:rPr>
                <w:rFonts w:ascii="Cambria" w:hAnsi="Cambria"/>
                <w:sz w:val="20"/>
                <w:szCs w:val="20"/>
              </w:rPr>
              <w:t xml:space="preserve">U članku 7. stavak 3. Općih uvjeta Ugovora o korištenju javne usluge sakupljanja komunalnog otpada na području Općine Dvor potrebno je ispraviti adresu mrežne stranice davatelja javne usluge tako da glasi: </w:t>
            </w:r>
            <w:hyperlink r:id="rId4" w:history="1">
              <w:r w:rsidRPr="00A54902">
                <w:rPr>
                  <w:rStyle w:val="Hyperlink"/>
                  <w:rFonts w:ascii="Cambria" w:hAnsi="Cambria"/>
                  <w:sz w:val="20"/>
                  <w:szCs w:val="20"/>
                </w:rPr>
                <w:t>www.dvorkom.hr</w:t>
              </w:r>
            </w:hyperlink>
            <w:r w:rsidRPr="006650A8">
              <w:rPr>
                <w:rFonts w:ascii="Cambria" w:hAnsi="Cambria"/>
                <w:sz w:val="20"/>
                <w:szCs w:val="20"/>
              </w:rPr>
              <w:t>.</w:t>
            </w:r>
          </w:p>
          <w:p w14:paraId="1C4B2F12" w14:textId="1435E029" w:rsidR="00A71158" w:rsidRPr="00165B63" w:rsidRDefault="00A000B4" w:rsidP="00A71158">
            <w:pPr>
              <w:pStyle w:val="NoSpacing"/>
              <w:jc w:val="both"/>
              <w:rPr>
                <w:rFonts w:ascii="Cambria" w:hAnsi="Cambria"/>
                <w:bCs/>
                <w:sz w:val="20"/>
                <w:szCs w:val="20"/>
                <w:u w:val="single"/>
              </w:rPr>
            </w:pPr>
            <w:r>
              <w:rPr>
                <w:rFonts w:ascii="Cambria" w:hAnsi="Cambria"/>
                <w:bCs/>
                <w:sz w:val="20"/>
                <w:szCs w:val="20"/>
                <w:u w:val="single"/>
              </w:rPr>
              <w:t>Prijedlog se p</w:t>
            </w:r>
            <w:r w:rsidR="00165B63" w:rsidRPr="00165B63">
              <w:rPr>
                <w:rFonts w:ascii="Cambria" w:hAnsi="Cambria"/>
                <w:bCs/>
                <w:sz w:val="20"/>
                <w:szCs w:val="20"/>
                <w:u w:val="single"/>
              </w:rPr>
              <w:t>rihvaća</w:t>
            </w:r>
            <w:r>
              <w:rPr>
                <w:rFonts w:ascii="Cambria" w:hAnsi="Cambria"/>
                <w:bCs/>
                <w:sz w:val="20"/>
                <w:szCs w:val="20"/>
                <w:u w:val="single"/>
              </w:rPr>
              <w:t>.</w:t>
            </w:r>
          </w:p>
          <w:p w14:paraId="42111711" w14:textId="77777777" w:rsidR="00A71158" w:rsidRDefault="00A71158" w:rsidP="00A71158">
            <w:pPr>
              <w:pStyle w:val="NoSpacing"/>
              <w:jc w:val="both"/>
              <w:rPr>
                <w:rFonts w:ascii="Cambria" w:hAnsi="Cambria"/>
                <w:bCs/>
                <w:sz w:val="20"/>
                <w:szCs w:val="20"/>
              </w:rPr>
            </w:pPr>
            <w:r>
              <w:rPr>
                <w:rFonts w:ascii="Cambria" w:hAnsi="Cambria"/>
                <w:bCs/>
                <w:i/>
                <w:iCs/>
                <w:sz w:val="20"/>
                <w:szCs w:val="20"/>
              </w:rPr>
              <w:t xml:space="preserve">Prijedlog 5) </w:t>
            </w:r>
          </w:p>
          <w:p w14:paraId="253CEFA6" w14:textId="48EC6D86" w:rsidR="00A71158" w:rsidRPr="006650A8" w:rsidRDefault="00165B63" w:rsidP="00A71158">
            <w:pPr>
              <w:pStyle w:val="NoSpacing"/>
              <w:jc w:val="both"/>
              <w:rPr>
                <w:rFonts w:ascii="Cambria" w:hAnsi="Cambria"/>
                <w:sz w:val="20"/>
                <w:szCs w:val="20"/>
              </w:rPr>
            </w:pPr>
            <w:r>
              <w:rPr>
                <w:rFonts w:ascii="Cambria" w:hAnsi="Cambria"/>
                <w:sz w:val="20"/>
                <w:szCs w:val="20"/>
              </w:rPr>
              <w:t xml:space="preserve">U </w:t>
            </w:r>
            <w:r w:rsidR="00A71158" w:rsidRPr="006650A8">
              <w:rPr>
                <w:rFonts w:ascii="Cambria" w:hAnsi="Cambria"/>
                <w:sz w:val="20"/>
                <w:szCs w:val="20"/>
              </w:rPr>
              <w:t>član</w:t>
            </w:r>
            <w:r>
              <w:rPr>
                <w:rFonts w:ascii="Cambria" w:hAnsi="Cambria"/>
                <w:sz w:val="20"/>
                <w:szCs w:val="20"/>
              </w:rPr>
              <w:t>ku</w:t>
            </w:r>
            <w:r w:rsidR="00A71158" w:rsidRPr="006650A8">
              <w:rPr>
                <w:rFonts w:ascii="Cambria" w:hAnsi="Cambria"/>
                <w:sz w:val="20"/>
                <w:szCs w:val="20"/>
              </w:rPr>
              <w:t xml:space="preserve"> 9. stavak 2. Općih uvjeta Ugovora potrebno je dodati: </w:t>
            </w:r>
          </w:p>
          <w:p w14:paraId="2DC267E8" w14:textId="77777777" w:rsidR="00A71158" w:rsidRPr="006650A8" w:rsidRDefault="00A71158" w:rsidP="00A71158">
            <w:pPr>
              <w:pStyle w:val="NoSpacing"/>
              <w:jc w:val="both"/>
              <w:rPr>
                <w:rFonts w:ascii="Cambria" w:hAnsi="Cambria"/>
                <w:sz w:val="20"/>
                <w:szCs w:val="20"/>
              </w:rPr>
            </w:pPr>
            <w:bookmarkStart w:id="0" w:name="_Hlk213397046"/>
            <w:r w:rsidRPr="006650A8">
              <w:rPr>
                <w:rFonts w:ascii="Cambria" w:hAnsi="Cambria"/>
                <w:sz w:val="20"/>
                <w:szCs w:val="20"/>
              </w:rPr>
              <w:t xml:space="preserve">Davatelj usluge će prvi puta prihvatiti pisano očitovanje vlasnika nekretnine o trajnom nekorištenju nekretnine, a korisnik usluge mora u roku od dvanaest (12) mjeseci dostaviti obračun potrošnje električne energije ili pitke vode kojim dokazuje trajno nekorištenje nekretnine tako da na iskazanim vrijednostima mjernih uređaja nema evidentirane potrošnje za dvanaest (12) uzastopnih mjeseci nakon odjave. </w:t>
            </w:r>
          </w:p>
          <w:p w14:paraId="1618F664" w14:textId="77777777" w:rsidR="00A71158" w:rsidRPr="006650A8" w:rsidRDefault="00A71158" w:rsidP="00A71158">
            <w:pPr>
              <w:pStyle w:val="NoSpacing"/>
              <w:jc w:val="both"/>
              <w:rPr>
                <w:rFonts w:ascii="Cambria" w:hAnsi="Cambria"/>
                <w:sz w:val="20"/>
                <w:szCs w:val="20"/>
              </w:rPr>
            </w:pPr>
            <w:r w:rsidRPr="006650A8">
              <w:rPr>
                <w:rFonts w:ascii="Cambria" w:hAnsi="Cambria"/>
                <w:sz w:val="20"/>
                <w:szCs w:val="20"/>
              </w:rPr>
              <w:t xml:space="preserve">Ako korisnik ne dostavi obračun potrošnje davatelj usluge ima pravo naplatiti cijenu minimalne javne usluge za preteklo razdoblje u kojem se minimalna cijena javne usluge nije obračunavala. </w:t>
            </w:r>
          </w:p>
          <w:bookmarkEnd w:id="0"/>
          <w:p w14:paraId="53240CE8" w14:textId="77777777" w:rsidR="00934CE1" w:rsidRDefault="00A71158" w:rsidP="00A71158">
            <w:pPr>
              <w:pStyle w:val="NoSpacing"/>
              <w:jc w:val="both"/>
              <w:rPr>
                <w:rFonts w:ascii="Cambria" w:hAnsi="Cambria"/>
                <w:bCs/>
                <w:color w:val="EE0000"/>
                <w:sz w:val="20"/>
                <w:szCs w:val="20"/>
              </w:rPr>
            </w:pPr>
            <w:r w:rsidRPr="00A87BB0">
              <w:rPr>
                <w:rFonts w:ascii="Cambria" w:hAnsi="Cambria"/>
                <w:bCs/>
                <w:color w:val="EE0000"/>
                <w:sz w:val="20"/>
                <w:szCs w:val="20"/>
              </w:rPr>
              <w:t xml:space="preserve">Prijedlog se </w:t>
            </w:r>
            <w:r w:rsidR="00CD6933" w:rsidRPr="00A87BB0">
              <w:rPr>
                <w:rFonts w:ascii="Cambria" w:hAnsi="Cambria"/>
                <w:bCs/>
                <w:color w:val="EE0000"/>
                <w:sz w:val="20"/>
                <w:szCs w:val="20"/>
              </w:rPr>
              <w:t>ne prihvaća</w:t>
            </w:r>
            <w:r w:rsidR="00934CE1">
              <w:rPr>
                <w:rFonts w:ascii="Cambria" w:hAnsi="Cambria"/>
                <w:bCs/>
                <w:color w:val="EE0000"/>
                <w:sz w:val="20"/>
                <w:szCs w:val="20"/>
              </w:rPr>
              <w:t xml:space="preserve"> iz više razloga.</w:t>
            </w:r>
          </w:p>
          <w:p w14:paraId="129279F0" w14:textId="61406988" w:rsidR="00A71158" w:rsidRPr="00A87BB0" w:rsidRDefault="00934CE1" w:rsidP="00A71158">
            <w:pPr>
              <w:pStyle w:val="NoSpacing"/>
              <w:jc w:val="both"/>
              <w:rPr>
                <w:rFonts w:ascii="Cambria" w:hAnsi="Cambria"/>
                <w:bCs/>
                <w:color w:val="EE0000"/>
                <w:sz w:val="20"/>
                <w:szCs w:val="20"/>
              </w:rPr>
            </w:pPr>
            <w:r>
              <w:rPr>
                <w:rFonts w:ascii="Cambria" w:hAnsi="Cambria"/>
                <w:bCs/>
                <w:color w:val="EE0000"/>
                <w:sz w:val="20"/>
                <w:szCs w:val="20"/>
              </w:rPr>
              <w:t xml:space="preserve">Predlaže se prihvaćanje pisanog očitovanja o trajnom nekorištenju nekretnine koje bi se </w:t>
            </w:r>
            <w:r w:rsidRPr="00934CE1">
              <w:rPr>
                <w:rFonts w:ascii="Cambria" w:hAnsi="Cambria"/>
                <w:bCs/>
                <w:color w:val="EE0000"/>
                <w:sz w:val="20"/>
                <w:szCs w:val="20"/>
              </w:rPr>
              <w:t>n</w:t>
            </w:r>
            <w:r w:rsidR="00A87BB0" w:rsidRPr="00934CE1">
              <w:rPr>
                <w:rFonts w:ascii="Cambria" w:hAnsi="Cambria"/>
                <w:bCs/>
                <w:color w:val="EE0000"/>
                <w:sz w:val="20"/>
                <w:szCs w:val="20"/>
              </w:rPr>
              <w:t>aknadno dokaziva</w:t>
            </w:r>
            <w:r w:rsidRPr="00934CE1">
              <w:rPr>
                <w:rFonts w:ascii="Cambria" w:hAnsi="Cambria"/>
                <w:bCs/>
                <w:color w:val="EE0000"/>
                <w:sz w:val="20"/>
                <w:szCs w:val="20"/>
              </w:rPr>
              <w:t>lo, a potrebno je raskinuti Ugovor. Nadalje, predlaže se</w:t>
            </w:r>
            <w:r w:rsidR="00A87BB0" w:rsidRPr="00A87BB0">
              <w:rPr>
                <w:rFonts w:ascii="Cambria" w:hAnsi="Cambria"/>
                <w:bCs/>
                <w:color w:val="EE0000"/>
                <w:sz w:val="20"/>
                <w:szCs w:val="20"/>
              </w:rPr>
              <w:t xml:space="preserve">  postupanje </w:t>
            </w:r>
            <w:r>
              <w:rPr>
                <w:rFonts w:ascii="Cambria" w:hAnsi="Cambria"/>
                <w:bCs/>
                <w:color w:val="EE0000"/>
                <w:sz w:val="20"/>
                <w:szCs w:val="20"/>
              </w:rPr>
              <w:t xml:space="preserve">samo u </w:t>
            </w:r>
            <w:r w:rsidR="00A87BB0" w:rsidRPr="00A87BB0">
              <w:rPr>
                <w:rFonts w:ascii="Cambria" w:hAnsi="Cambria"/>
                <w:bCs/>
                <w:color w:val="EE0000"/>
                <w:sz w:val="20"/>
                <w:szCs w:val="20"/>
              </w:rPr>
              <w:t>slu</w:t>
            </w:r>
            <w:r w:rsidR="00A87BB0">
              <w:rPr>
                <w:rFonts w:ascii="Cambria" w:hAnsi="Cambria"/>
                <w:bCs/>
                <w:color w:val="EE0000"/>
                <w:sz w:val="20"/>
                <w:szCs w:val="20"/>
              </w:rPr>
              <w:t>č</w:t>
            </w:r>
            <w:r w:rsidR="00A87BB0" w:rsidRPr="00A87BB0">
              <w:rPr>
                <w:rFonts w:ascii="Cambria" w:hAnsi="Cambria"/>
                <w:bCs/>
                <w:color w:val="EE0000"/>
                <w:sz w:val="20"/>
                <w:szCs w:val="20"/>
              </w:rPr>
              <w:t>aju da korisnik ne dostavi</w:t>
            </w:r>
            <w:r>
              <w:rPr>
                <w:rFonts w:ascii="Cambria" w:hAnsi="Cambria"/>
                <w:bCs/>
                <w:color w:val="EE0000"/>
                <w:sz w:val="20"/>
                <w:szCs w:val="20"/>
              </w:rPr>
              <w:t xml:space="preserve"> nikakve</w:t>
            </w:r>
            <w:r w:rsidR="00A87BB0" w:rsidRPr="00A87BB0">
              <w:rPr>
                <w:rFonts w:ascii="Cambria" w:hAnsi="Cambria"/>
                <w:bCs/>
                <w:color w:val="EE0000"/>
                <w:sz w:val="20"/>
                <w:szCs w:val="20"/>
              </w:rPr>
              <w:t xml:space="preserve"> dokaze o potrošnji</w:t>
            </w:r>
            <w:r>
              <w:rPr>
                <w:rFonts w:ascii="Cambria" w:hAnsi="Cambria"/>
                <w:bCs/>
                <w:color w:val="EE0000"/>
                <w:sz w:val="20"/>
                <w:szCs w:val="20"/>
              </w:rPr>
              <w:t xml:space="preserve"> na obračunskom mjestu</w:t>
            </w:r>
            <w:r w:rsidR="00A87BB0" w:rsidRPr="00A87BB0">
              <w:rPr>
                <w:rFonts w:ascii="Cambria" w:hAnsi="Cambria"/>
                <w:bCs/>
                <w:color w:val="EE0000"/>
                <w:sz w:val="20"/>
                <w:szCs w:val="20"/>
              </w:rPr>
              <w:t xml:space="preserve">, a ne propisuje </w:t>
            </w:r>
            <w:r w:rsidR="00A87BB0">
              <w:rPr>
                <w:rFonts w:ascii="Cambria" w:hAnsi="Cambria"/>
                <w:bCs/>
                <w:color w:val="EE0000"/>
                <w:sz w:val="20"/>
                <w:szCs w:val="20"/>
              </w:rPr>
              <w:t xml:space="preserve">se </w:t>
            </w:r>
            <w:r w:rsidR="00A87BB0" w:rsidRPr="00A87BB0">
              <w:rPr>
                <w:rFonts w:ascii="Cambria" w:hAnsi="Cambria"/>
                <w:bCs/>
                <w:color w:val="EE0000"/>
                <w:sz w:val="20"/>
                <w:szCs w:val="20"/>
              </w:rPr>
              <w:t>što u slučaju dostav</w:t>
            </w:r>
            <w:r>
              <w:rPr>
                <w:rFonts w:ascii="Cambria" w:hAnsi="Cambria"/>
                <w:bCs/>
                <w:color w:val="EE0000"/>
                <w:sz w:val="20"/>
                <w:szCs w:val="20"/>
              </w:rPr>
              <w:t>e</w:t>
            </w:r>
            <w:r w:rsidR="00A87BB0" w:rsidRPr="00A87BB0">
              <w:rPr>
                <w:rFonts w:ascii="Cambria" w:hAnsi="Cambria"/>
                <w:bCs/>
                <w:color w:val="EE0000"/>
                <w:sz w:val="20"/>
                <w:szCs w:val="20"/>
              </w:rPr>
              <w:t xml:space="preserve"> dokaz</w:t>
            </w:r>
            <w:r>
              <w:rPr>
                <w:rFonts w:ascii="Cambria" w:hAnsi="Cambria"/>
                <w:bCs/>
                <w:color w:val="EE0000"/>
                <w:sz w:val="20"/>
                <w:szCs w:val="20"/>
              </w:rPr>
              <w:t>a</w:t>
            </w:r>
            <w:r w:rsidR="00A87BB0" w:rsidRPr="00A87BB0">
              <w:rPr>
                <w:rFonts w:ascii="Cambria" w:hAnsi="Cambria"/>
                <w:bCs/>
                <w:color w:val="EE0000"/>
                <w:sz w:val="20"/>
                <w:szCs w:val="20"/>
              </w:rPr>
              <w:t xml:space="preserve"> iz koj</w:t>
            </w:r>
            <w:r>
              <w:rPr>
                <w:rFonts w:ascii="Cambria" w:hAnsi="Cambria"/>
                <w:bCs/>
                <w:color w:val="EE0000"/>
                <w:sz w:val="20"/>
                <w:szCs w:val="20"/>
              </w:rPr>
              <w:t>ih</w:t>
            </w:r>
            <w:r w:rsidR="00A87BB0" w:rsidRPr="00A87BB0">
              <w:rPr>
                <w:rFonts w:ascii="Cambria" w:hAnsi="Cambria"/>
                <w:bCs/>
                <w:color w:val="EE0000"/>
                <w:sz w:val="20"/>
                <w:szCs w:val="20"/>
              </w:rPr>
              <w:t xml:space="preserve"> je vidljivo da postoji potrošnja na obračunskom mjestu korisnika </w:t>
            </w:r>
            <w:r>
              <w:rPr>
                <w:rFonts w:ascii="Cambria" w:hAnsi="Cambria"/>
                <w:bCs/>
                <w:color w:val="EE0000"/>
                <w:sz w:val="20"/>
                <w:szCs w:val="20"/>
              </w:rPr>
              <w:t xml:space="preserve">javne </w:t>
            </w:r>
            <w:r w:rsidR="00A87BB0" w:rsidRPr="00A87BB0">
              <w:rPr>
                <w:rFonts w:ascii="Cambria" w:hAnsi="Cambria"/>
                <w:bCs/>
                <w:color w:val="EE0000"/>
                <w:sz w:val="20"/>
                <w:szCs w:val="20"/>
              </w:rPr>
              <w:t>usluge.</w:t>
            </w:r>
          </w:p>
          <w:p w14:paraId="38BC5CF1" w14:textId="77777777" w:rsidR="00A71158" w:rsidRDefault="00A71158" w:rsidP="00A71158">
            <w:pPr>
              <w:pStyle w:val="NoSpacing"/>
              <w:jc w:val="both"/>
              <w:rPr>
                <w:rFonts w:ascii="Cambria" w:hAnsi="Cambria"/>
                <w:bCs/>
                <w:sz w:val="20"/>
                <w:szCs w:val="20"/>
              </w:rPr>
            </w:pPr>
            <w:r>
              <w:rPr>
                <w:rFonts w:ascii="Cambria" w:hAnsi="Cambria"/>
                <w:bCs/>
                <w:i/>
                <w:iCs/>
                <w:sz w:val="20"/>
                <w:szCs w:val="20"/>
              </w:rPr>
              <w:t xml:space="preserve">Prijedlog 6) </w:t>
            </w:r>
          </w:p>
          <w:p w14:paraId="3D606C3E" w14:textId="77777777" w:rsidR="00A71158" w:rsidRPr="006650A8" w:rsidRDefault="00A71158" w:rsidP="00A71158">
            <w:pPr>
              <w:pStyle w:val="NoSpacing"/>
              <w:jc w:val="both"/>
              <w:rPr>
                <w:rFonts w:ascii="Cambria" w:hAnsi="Cambria"/>
                <w:sz w:val="20"/>
                <w:szCs w:val="20"/>
              </w:rPr>
            </w:pPr>
            <w:r w:rsidRPr="006650A8">
              <w:rPr>
                <w:rFonts w:ascii="Cambria" w:hAnsi="Cambria"/>
                <w:sz w:val="20"/>
                <w:szCs w:val="20"/>
              </w:rPr>
              <w:t xml:space="preserve">U članak 9. stavak 3. Općih uvjeta Ugovora potrebno je dodati: </w:t>
            </w:r>
          </w:p>
          <w:p w14:paraId="37255DE4" w14:textId="77777777" w:rsidR="00A71158" w:rsidRPr="006650A8" w:rsidRDefault="00A71158" w:rsidP="00A71158">
            <w:pPr>
              <w:pStyle w:val="NoSpacing"/>
              <w:jc w:val="both"/>
              <w:rPr>
                <w:rFonts w:ascii="Cambria" w:hAnsi="Cambria"/>
                <w:sz w:val="20"/>
                <w:szCs w:val="20"/>
              </w:rPr>
            </w:pPr>
            <w:bookmarkStart w:id="1" w:name="_Hlk213397088"/>
            <w:r w:rsidRPr="006650A8">
              <w:rPr>
                <w:rFonts w:ascii="Cambria" w:hAnsi="Cambria"/>
                <w:sz w:val="20"/>
                <w:szCs w:val="20"/>
              </w:rPr>
              <w:t xml:space="preserve">Davatelj usluge dužan je izdati pisano odobrenje o odjavi korištenja javne usluge. Korisnik javne usluge dužan je svakih dvanaest (12) mjeseci od dana izdanog pisanog odobrenja o odjavi korištenja javne usluge dostaviti Davatelju usluge nove podatke o očitanju (kartica utroška) mjernih uređaja za potrošnju (električne energije, pitke vode i sl.) iz kojih mora biti razvidno da nije bilo potrošnje u prethodnom razdoblju. </w:t>
            </w:r>
          </w:p>
          <w:p w14:paraId="1AE28EA6" w14:textId="77777777" w:rsidR="00A71158" w:rsidRDefault="00A71158" w:rsidP="00A71158">
            <w:pPr>
              <w:pStyle w:val="NoSpacing"/>
              <w:jc w:val="both"/>
              <w:rPr>
                <w:rFonts w:ascii="Cambria" w:hAnsi="Cambria"/>
                <w:sz w:val="20"/>
                <w:szCs w:val="20"/>
              </w:rPr>
            </w:pPr>
            <w:r w:rsidRPr="006650A8">
              <w:rPr>
                <w:rFonts w:ascii="Cambria" w:hAnsi="Cambria"/>
                <w:sz w:val="20"/>
                <w:szCs w:val="20"/>
              </w:rPr>
              <w:t>U slučaju da korisnik ne dostavi podatke iz prethodnog stavka Davatelj usluge će izvršiti retroaktivno zaduženje iznosa minimalne javne usluge od dana izdavanja pisanog odobrenja, te obračunati ugovornu kaznu.</w:t>
            </w:r>
          </w:p>
          <w:bookmarkEnd w:id="1"/>
          <w:p w14:paraId="48DD143A" w14:textId="3F87F3BE" w:rsidR="00A71158" w:rsidRPr="00A87BB0" w:rsidRDefault="00A71158" w:rsidP="00A71158">
            <w:pPr>
              <w:pStyle w:val="NoSpacing"/>
              <w:jc w:val="both"/>
              <w:rPr>
                <w:rFonts w:ascii="Cambria" w:hAnsi="Cambria"/>
                <w:bCs/>
                <w:color w:val="EE0000"/>
                <w:sz w:val="20"/>
                <w:szCs w:val="20"/>
              </w:rPr>
            </w:pPr>
            <w:r w:rsidRPr="00A87BB0">
              <w:rPr>
                <w:rFonts w:ascii="Cambria" w:hAnsi="Cambria"/>
                <w:bCs/>
                <w:color w:val="EE0000"/>
                <w:sz w:val="20"/>
                <w:szCs w:val="20"/>
              </w:rPr>
              <w:t xml:space="preserve">Prijedlog se </w:t>
            </w:r>
            <w:r w:rsidR="00A87BB0">
              <w:rPr>
                <w:rFonts w:ascii="Cambria" w:hAnsi="Cambria"/>
                <w:bCs/>
                <w:color w:val="EE0000"/>
                <w:sz w:val="20"/>
                <w:szCs w:val="20"/>
              </w:rPr>
              <w:t>ne prihvaća, jer su radnici davatelja javne usluge dužni</w:t>
            </w:r>
            <w:r w:rsidR="00934CE1">
              <w:rPr>
                <w:rFonts w:ascii="Cambria" w:hAnsi="Cambria"/>
                <w:bCs/>
                <w:color w:val="EE0000"/>
                <w:sz w:val="20"/>
                <w:szCs w:val="20"/>
              </w:rPr>
              <w:t>,</w:t>
            </w:r>
            <w:r w:rsidR="00A87BB0">
              <w:rPr>
                <w:rFonts w:ascii="Cambria" w:hAnsi="Cambria"/>
                <w:bCs/>
                <w:color w:val="EE0000"/>
                <w:sz w:val="20"/>
                <w:szCs w:val="20"/>
              </w:rPr>
              <w:t xml:space="preserve"> pri sakupljanju komunalnog otpada</w:t>
            </w:r>
            <w:r w:rsidR="00934CE1">
              <w:rPr>
                <w:rFonts w:ascii="Cambria" w:hAnsi="Cambria"/>
                <w:bCs/>
                <w:color w:val="EE0000"/>
                <w:sz w:val="20"/>
                <w:szCs w:val="20"/>
              </w:rPr>
              <w:t xml:space="preserve">, </w:t>
            </w:r>
            <w:r w:rsidR="00A87BB0">
              <w:rPr>
                <w:rFonts w:ascii="Cambria" w:hAnsi="Cambria"/>
                <w:bCs/>
                <w:color w:val="EE0000"/>
                <w:sz w:val="20"/>
                <w:szCs w:val="20"/>
              </w:rPr>
              <w:t xml:space="preserve">pratiti korištenje stambenih objekata, odnosno korištenje javne </w:t>
            </w:r>
            <w:r w:rsidR="00A87BB0">
              <w:rPr>
                <w:rFonts w:ascii="Cambria" w:hAnsi="Cambria"/>
                <w:bCs/>
                <w:color w:val="EE0000"/>
                <w:sz w:val="20"/>
                <w:szCs w:val="20"/>
              </w:rPr>
              <w:lastRenderedPageBreak/>
              <w:t>usluge odvoza komunalnog otpada</w:t>
            </w:r>
            <w:r w:rsidR="00934CE1">
              <w:rPr>
                <w:rFonts w:ascii="Cambria" w:hAnsi="Cambria"/>
                <w:bCs/>
                <w:color w:val="EE0000"/>
                <w:sz w:val="20"/>
                <w:szCs w:val="20"/>
              </w:rPr>
              <w:t xml:space="preserve"> i prijaviti sv</w:t>
            </w:r>
            <w:r w:rsidR="00827FB0">
              <w:rPr>
                <w:rFonts w:ascii="Cambria" w:hAnsi="Cambria"/>
                <w:bCs/>
                <w:color w:val="EE0000"/>
                <w:sz w:val="20"/>
                <w:szCs w:val="20"/>
              </w:rPr>
              <w:t>a</w:t>
            </w:r>
            <w:r w:rsidR="00934CE1">
              <w:rPr>
                <w:rFonts w:ascii="Cambria" w:hAnsi="Cambria"/>
                <w:bCs/>
                <w:color w:val="EE0000"/>
                <w:sz w:val="20"/>
                <w:szCs w:val="20"/>
              </w:rPr>
              <w:t>ku promjenu davatelju javne usluge</w:t>
            </w:r>
            <w:r w:rsidR="00A87BB0">
              <w:rPr>
                <w:rFonts w:ascii="Cambria" w:hAnsi="Cambria"/>
                <w:bCs/>
                <w:color w:val="EE0000"/>
                <w:sz w:val="20"/>
                <w:szCs w:val="20"/>
              </w:rPr>
              <w:t>.</w:t>
            </w:r>
          </w:p>
          <w:p w14:paraId="63447C94" w14:textId="77777777" w:rsidR="00A71158" w:rsidRDefault="00A71158" w:rsidP="00A71158">
            <w:pPr>
              <w:pStyle w:val="NoSpacing"/>
              <w:jc w:val="both"/>
              <w:rPr>
                <w:rFonts w:ascii="Cambria" w:hAnsi="Cambria"/>
                <w:bCs/>
                <w:sz w:val="20"/>
                <w:szCs w:val="20"/>
              </w:rPr>
            </w:pPr>
            <w:r>
              <w:rPr>
                <w:rFonts w:ascii="Cambria" w:hAnsi="Cambria"/>
                <w:bCs/>
                <w:i/>
                <w:iCs/>
                <w:sz w:val="20"/>
                <w:szCs w:val="20"/>
              </w:rPr>
              <w:t>Prijedlog 7)</w:t>
            </w:r>
          </w:p>
          <w:p w14:paraId="4A1CA285" w14:textId="77777777" w:rsidR="00A71158" w:rsidRDefault="00A71158" w:rsidP="00A71158">
            <w:pPr>
              <w:pStyle w:val="NoSpacing"/>
              <w:jc w:val="both"/>
              <w:rPr>
                <w:rFonts w:ascii="Cambria" w:hAnsi="Cambria"/>
                <w:sz w:val="20"/>
                <w:szCs w:val="20"/>
              </w:rPr>
            </w:pPr>
            <w:r w:rsidRPr="006650A8">
              <w:rPr>
                <w:rFonts w:ascii="Cambria" w:hAnsi="Cambria"/>
                <w:sz w:val="20"/>
                <w:szCs w:val="20"/>
              </w:rPr>
              <w:t>Članak 14. stavak 2. Općih uvjeta Ugovora potrebno je brisati jer su korisnici dužni sami održavati čistoću spremnika</w:t>
            </w:r>
          </w:p>
          <w:p w14:paraId="55E51B3B" w14:textId="2C5609DD" w:rsidR="00A71158" w:rsidRPr="00A71158" w:rsidRDefault="00A71158" w:rsidP="00A71158">
            <w:pPr>
              <w:pStyle w:val="NoSpacing"/>
              <w:jc w:val="both"/>
              <w:rPr>
                <w:rFonts w:ascii="Cambria" w:hAnsi="Cambria"/>
                <w:bCs/>
                <w:sz w:val="20"/>
                <w:szCs w:val="20"/>
              </w:rPr>
            </w:pPr>
            <w:r w:rsidRPr="00A87BB0">
              <w:rPr>
                <w:rFonts w:ascii="Cambria" w:hAnsi="Cambria"/>
                <w:color w:val="EE0000"/>
                <w:sz w:val="20"/>
                <w:szCs w:val="20"/>
              </w:rPr>
              <w:t xml:space="preserve">Prijedlog se </w:t>
            </w:r>
            <w:r w:rsidR="00A87BB0" w:rsidRPr="00A87BB0">
              <w:rPr>
                <w:rFonts w:ascii="Cambria" w:hAnsi="Cambria"/>
                <w:color w:val="EE0000"/>
                <w:sz w:val="20"/>
                <w:szCs w:val="20"/>
              </w:rPr>
              <w:t xml:space="preserve">ne prihvaća, jer je propisano da davatelj </w:t>
            </w:r>
            <w:r w:rsidR="00934CE1">
              <w:rPr>
                <w:rFonts w:ascii="Cambria" w:hAnsi="Cambria"/>
                <w:color w:val="EE0000"/>
                <w:sz w:val="20"/>
                <w:szCs w:val="20"/>
              </w:rPr>
              <w:t xml:space="preserve">javne </w:t>
            </w:r>
            <w:r w:rsidR="00A87BB0" w:rsidRPr="00A87BB0">
              <w:rPr>
                <w:rFonts w:ascii="Cambria" w:hAnsi="Cambria"/>
                <w:color w:val="EE0000"/>
                <w:sz w:val="20"/>
                <w:szCs w:val="20"/>
              </w:rPr>
              <w:t xml:space="preserve">usluge „može“, a ne da „mora“ osigurati pranje spremnika  za korisnike u kategoriji </w:t>
            </w:r>
            <w:r w:rsidR="00A87BB0" w:rsidRPr="00A87BB0">
              <w:rPr>
                <w:rFonts w:ascii="Cambria" w:hAnsi="Cambria"/>
                <w:i/>
                <w:iCs/>
                <w:color w:val="EE0000"/>
                <w:sz w:val="20"/>
                <w:szCs w:val="20"/>
              </w:rPr>
              <w:t>kućanstva</w:t>
            </w:r>
            <w:r w:rsidR="00A87BB0" w:rsidRPr="00A87BB0">
              <w:rPr>
                <w:rFonts w:ascii="Cambria" w:hAnsi="Cambria"/>
                <w:color w:val="EE0000"/>
                <w:sz w:val="20"/>
                <w:szCs w:val="20"/>
              </w:rPr>
              <w:t xml:space="preserve">, potkategorija </w:t>
            </w:r>
            <w:r w:rsidR="00A87BB0" w:rsidRPr="00A87BB0">
              <w:rPr>
                <w:rFonts w:ascii="Cambria" w:hAnsi="Cambria"/>
                <w:i/>
                <w:iCs/>
                <w:color w:val="EE0000"/>
                <w:sz w:val="20"/>
                <w:szCs w:val="20"/>
              </w:rPr>
              <w:t>b.</w:t>
            </w:r>
            <w:r w:rsidR="00A87BB0" w:rsidRPr="00A87BB0">
              <w:rPr>
                <w:rFonts w:ascii="Cambria" w:hAnsi="Cambria"/>
                <w:color w:val="EE0000"/>
                <w:sz w:val="20"/>
                <w:szCs w:val="20"/>
              </w:rPr>
              <w:t xml:space="preserve"> </w:t>
            </w:r>
            <w:r w:rsidR="00A87BB0" w:rsidRPr="00A87BB0">
              <w:rPr>
                <w:rFonts w:ascii="Cambria" w:hAnsi="Cambria"/>
                <w:i/>
                <w:iCs/>
                <w:color w:val="EE0000"/>
                <w:sz w:val="20"/>
                <w:szCs w:val="20"/>
              </w:rPr>
              <w:t>stambene zgrade</w:t>
            </w:r>
            <w:r w:rsidR="00A87BB0" w:rsidRPr="00A87BB0">
              <w:rPr>
                <w:rFonts w:ascii="Cambria" w:hAnsi="Cambria"/>
                <w:color w:val="EE0000"/>
                <w:sz w:val="20"/>
                <w:szCs w:val="20"/>
              </w:rPr>
              <w:t xml:space="preserve">, </w:t>
            </w:r>
            <w:r w:rsidR="00934CE1">
              <w:rPr>
                <w:rFonts w:ascii="Cambria" w:hAnsi="Cambria"/>
                <w:color w:val="EE0000"/>
                <w:sz w:val="20"/>
                <w:szCs w:val="20"/>
              </w:rPr>
              <w:t xml:space="preserve">a </w:t>
            </w:r>
            <w:r w:rsidR="00A87BB0" w:rsidRPr="00A87BB0">
              <w:rPr>
                <w:rFonts w:ascii="Cambria" w:hAnsi="Cambria"/>
                <w:color w:val="EE0000"/>
                <w:sz w:val="20"/>
                <w:szCs w:val="20"/>
              </w:rPr>
              <w:t>koji nemaju uvjeta za adekvatno održavanje spremnika za otpad, osobito zajedničkih spremnika-kontejnera.</w:t>
            </w:r>
          </w:p>
        </w:tc>
      </w:tr>
      <w:tr w:rsidR="00884CF9" w:rsidRPr="00884CF9" w14:paraId="6E5BF544" w14:textId="77777777">
        <w:trPr>
          <w:trHeight w:val="785"/>
        </w:trPr>
        <w:tc>
          <w:tcPr>
            <w:tcW w:w="4077" w:type="dxa"/>
            <w:tcBorders>
              <w:top w:val="single" w:sz="4" w:space="0" w:color="365F91"/>
              <w:left w:val="single" w:sz="4" w:space="0" w:color="365F91"/>
              <w:bottom w:val="single" w:sz="4" w:space="0" w:color="365F91"/>
              <w:right w:val="single" w:sz="4" w:space="0" w:color="365F91"/>
            </w:tcBorders>
            <w:vAlign w:val="center"/>
            <w:hideMark/>
          </w:tcPr>
          <w:p w14:paraId="6623C2AF" w14:textId="77777777" w:rsidR="00884CF9" w:rsidRPr="00884CF9" w:rsidRDefault="00884CF9" w:rsidP="00884CF9">
            <w:pPr>
              <w:pStyle w:val="NoSpacing"/>
              <w:jc w:val="both"/>
              <w:rPr>
                <w:rFonts w:ascii="Cambria" w:hAnsi="Cambria"/>
                <w:b/>
                <w:bCs/>
                <w:sz w:val="20"/>
                <w:szCs w:val="20"/>
              </w:rPr>
            </w:pPr>
            <w:r w:rsidRPr="00884CF9">
              <w:rPr>
                <w:rFonts w:ascii="Cambria" w:hAnsi="Cambria"/>
                <w:b/>
                <w:bCs/>
                <w:sz w:val="20"/>
                <w:szCs w:val="20"/>
              </w:rPr>
              <w:lastRenderedPageBreak/>
              <w:t xml:space="preserve">Ostali oblici savjetovanja s javnošću </w:t>
            </w:r>
          </w:p>
        </w:tc>
        <w:tc>
          <w:tcPr>
            <w:tcW w:w="5166" w:type="dxa"/>
            <w:tcBorders>
              <w:top w:val="single" w:sz="4" w:space="0" w:color="365F91"/>
              <w:left w:val="single" w:sz="4" w:space="0" w:color="365F91"/>
              <w:bottom w:val="single" w:sz="4" w:space="0" w:color="365F91"/>
              <w:right w:val="single" w:sz="4" w:space="0" w:color="365F91"/>
            </w:tcBorders>
          </w:tcPr>
          <w:p w14:paraId="04F0A758" w14:textId="77777777" w:rsidR="00884CF9" w:rsidRPr="00884CF9" w:rsidRDefault="00884CF9" w:rsidP="00884CF9">
            <w:pPr>
              <w:pStyle w:val="NoSpacing"/>
              <w:jc w:val="both"/>
              <w:rPr>
                <w:rFonts w:ascii="Cambria" w:hAnsi="Cambria"/>
                <w:sz w:val="20"/>
                <w:szCs w:val="20"/>
              </w:rPr>
            </w:pPr>
          </w:p>
          <w:p w14:paraId="1F50806F" w14:textId="77777777" w:rsidR="00884CF9" w:rsidRPr="00884CF9" w:rsidRDefault="00884CF9" w:rsidP="00884CF9">
            <w:pPr>
              <w:pStyle w:val="NoSpacing"/>
              <w:jc w:val="both"/>
              <w:rPr>
                <w:rFonts w:ascii="Cambria" w:hAnsi="Cambria"/>
                <w:sz w:val="20"/>
                <w:szCs w:val="20"/>
              </w:rPr>
            </w:pPr>
            <w:r w:rsidRPr="00884CF9">
              <w:rPr>
                <w:rFonts w:ascii="Cambria" w:hAnsi="Cambria"/>
                <w:sz w:val="20"/>
                <w:szCs w:val="20"/>
              </w:rPr>
              <w:t>---------------------------------------------------------</w:t>
            </w:r>
          </w:p>
        </w:tc>
      </w:tr>
      <w:tr w:rsidR="00884CF9" w:rsidRPr="00884CF9" w14:paraId="7A30E581" w14:textId="77777777">
        <w:trPr>
          <w:trHeight w:val="777"/>
        </w:trPr>
        <w:tc>
          <w:tcPr>
            <w:tcW w:w="4077" w:type="dxa"/>
            <w:tcBorders>
              <w:top w:val="single" w:sz="4" w:space="0" w:color="365F91"/>
              <w:left w:val="single" w:sz="4" w:space="0" w:color="365F91"/>
              <w:bottom w:val="single" w:sz="4" w:space="0" w:color="365F91"/>
              <w:right w:val="single" w:sz="4" w:space="0" w:color="365F91"/>
            </w:tcBorders>
            <w:vAlign w:val="center"/>
            <w:hideMark/>
          </w:tcPr>
          <w:p w14:paraId="58DD34D4" w14:textId="77777777" w:rsidR="00884CF9" w:rsidRPr="00884CF9" w:rsidRDefault="00884CF9" w:rsidP="00884CF9">
            <w:pPr>
              <w:pStyle w:val="NoSpacing"/>
              <w:jc w:val="both"/>
              <w:rPr>
                <w:rFonts w:ascii="Cambria" w:hAnsi="Cambria"/>
                <w:b/>
                <w:bCs/>
                <w:sz w:val="20"/>
                <w:szCs w:val="20"/>
              </w:rPr>
            </w:pPr>
            <w:r w:rsidRPr="00884CF9">
              <w:rPr>
                <w:rFonts w:ascii="Cambria" w:hAnsi="Cambria"/>
                <w:b/>
                <w:bCs/>
                <w:sz w:val="20"/>
                <w:szCs w:val="20"/>
              </w:rPr>
              <w:t>Troškovi provedenog savjetovanja</w:t>
            </w:r>
          </w:p>
        </w:tc>
        <w:tc>
          <w:tcPr>
            <w:tcW w:w="5166" w:type="dxa"/>
            <w:tcBorders>
              <w:top w:val="single" w:sz="4" w:space="0" w:color="365F91"/>
              <w:left w:val="single" w:sz="4" w:space="0" w:color="365F91"/>
              <w:bottom w:val="single" w:sz="4" w:space="0" w:color="365F91"/>
              <w:right w:val="single" w:sz="4" w:space="0" w:color="365F91"/>
            </w:tcBorders>
            <w:hideMark/>
          </w:tcPr>
          <w:p w14:paraId="39407E0F" w14:textId="77777777" w:rsidR="00884CF9" w:rsidRPr="00884CF9" w:rsidRDefault="00884CF9" w:rsidP="00884CF9">
            <w:pPr>
              <w:pStyle w:val="NoSpacing"/>
              <w:rPr>
                <w:rFonts w:ascii="Cambria" w:hAnsi="Cambria"/>
                <w:bCs/>
                <w:sz w:val="20"/>
                <w:szCs w:val="20"/>
              </w:rPr>
            </w:pPr>
            <w:r w:rsidRPr="00884CF9">
              <w:rPr>
                <w:rFonts w:ascii="Cambria" w:hAnsi="Cambria"/>
                <w:bCs/>
                <w:sz w:val="20"/>
                <w:szCs w:val="20"/>
              </w:rPr>
              <w:t>Provedba savjetovanja s javnošću nije iziskivala dodatne financijske troškove.</w:t>
            </w:r>
          </w:p>
        </w:tc>
      </w:tr>
    </w:tbl>
    <w:p w14:paraId="40E180D2" w14:textId="77777777" w:rsidR="00884CF9" w:rsidRPr="00884CF9" w:rsidRDefault="00884CF9" w:rsidP="00884CF9">
      <w:pPr>
        <w:pStyle w:val="NoSpacing"/>
        <w:jc w:val="both"/>
        <w:rPr>
          <w:rFonts w:ascii="Cambria" w:hAnsi="Cambria"/>
          <w:b/>
          <w:bCs/>
        </w:rPr>
      </w:pPr>
      <w:bookmarkStart w:id="2" w:name="_Toc468978618"/>
      <w:bookmarkEnd w:id="2"/>
    </w:p>
    <w:p w14:paraId="44F4B732" w14:textId="77777777" w:rsidR="00317DD3" w:rsidRPr="00884CF9" w:rsidRDefault="00317DD3" w:rsidP="00884CF9">
      <w:pPr>
        <w:pStyle w:val="NoSpacing"/>
        <w:jc w:val="both"/>
        <w:rPr>
          <w:rFonts w:ascii="Cambria" w:hAnsi="Cambria"/>
        </w:rPr>
      </w:pPr>
    </w:p>
    <w:sectPr w:rsidR="00317DD3" w:rsidRPr="00884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F9"/>
    <w:rsid w:val="000766BA"/>
    <w:rsid w:val="000B5350"/>
    <w:rsid w:val="00111E39"/>
    <w:rsid w:val="00134E94"/>
    <w:rsid w:val="00165B63"/>
    <w:rsid w:val="001830A1"/>
    <w:rsid w:val="00317DD3"/>
    <w:rsid w:val="0036128C"/>
    <w:rsid w:val="00827FB0"/>
    <w:rsid w:val="00884CF9"/>
    <w:rsid w:val="00934CE1"/>
    <w:rsid w:val="009C11E6"/>
    <w:rsid w:val="00A000B4"/>
    <w:rsid w:val="00A71158"/>
    <w:rsid w:val="00A87BB0"/>
    <w:rsid w:val="00BC1C91"/>
    <w:rsid w:val="00CD6933"/>
    <w:rsid w:val="00D55020"/>
    <w:rsid w:val="00DA75AF"/>
    <w:rsid w:val="00E177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B0A1"/>
  <w15:chartTrackingRefBased/>
  <w15:docId w15:val="{63057782-E6FD-4D24-8C41-FDAD8B9B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8C"/>
    <w:pPr>
      <w:spacing w:line="278" w:lineRule="auto"/>
    </w:pPr>
    <w:rPr>
      <w:sz w:val="24"/>
      <w:szCs w:val="24"/>
    </w:rPr>
  </w:style>
  <w:style w:type="paragraph" w:styleId="Heading1">
    <w:name w:val="heading 1"/>
    <w:basedOn w:val="Normal"/>
    <w:next w:val="Normal"/>
    <w:link w:val="Heading1Char"/>
    <w:uiPriority w:val="9"/>
    <w:qFormat/>
    <w:rsid w:val="00884C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C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C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C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C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CF9"/>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884CF9"/>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884CF9"/>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884CF9"/>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884CF9"/>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884CF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884CF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884CF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884CF9"/>
    <w:rPr>
      <w:rFonts w:eastAsiaTheme="majorEastAsia" w:cstheme="majorBidi"/>
      <w:noProof/>
      <w:color w:val="272727" w:themeColor="text1" w:themeTint="D8"/>
    </w:rPr>
  </w:style>
  <w:style w:type="paragraph" w:styleId="Title">
    <w:name w:val="Title"/>
    <w:basedOn w:val="Normal"/>
    <w:next w:val="Normal"/>
    <w:link w:val="TitleChar"/>
    <w:uiPriority w:val="10"/>
    <w:qFormat/>
    <w:rsid w:val="00884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CF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884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CF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884CF9"/>
    <w:pPr>
      <w:spacing w:before="160"/>
      <w:jc w:val="center"/>
    </w:pPr>
    <w:rPr>
      <w:i/>
      <w:iCs/>
      <w:color w:val="404040" w:themeColor="text1" w:themeTint="BF"/>
    </w:rPr>
  </w:style>
  <w:style w:type="character" w:customStyle="1" w:styleId="QuoteChar">
    <w:name w:val="Quote Char"/>
    <w:basedOn w:val="DefaultParagraphFont"/>
    <w:link w:val="Quote"/>
    <w:uiPriority w:val="29"/>
    <w:rsid w:val="00884CF9"/>
    <w:rPr>
      <w:i/>
      <w:iCs/>
      <w:noProof/>
      <w:color w:val="404040" w:themeColor="text1" w:themeTint="BF"/>
    </w:rPr>
  </w:style>
  <w:style w:type="paragraph" w:styleId="ListParagraph">
    <w:name w:val="List Paragraph"/>
    <w:basedOn w:val="Normal"/>
    <w:uiPriority w:val="34"/>
    <w:qFormat/>
    <w:rsid w:val="00884CF9"/>
    <w:pPr>
      <w:ind w:left="720"/>
      <w:contextualSpacing/>
    </w:pPr>
  </w:style>
  <w:style w:type="character" w:styleId="IntenseEmphasis">
    <w:name w:val="Intense Emphasis"/>
    <w:basedOn w:val="DefaultParagraphFont"/>
    <w:uiPriority w:val="21"/>
    <w:qFormat/>
    <w:rsid w:val="00884CF9"/>
    <w:rPr>
      <w:i/>
      <w:iCs/>
      <w:color w:val="2F5496" w:themeColor="accent1" w:themeShade="BF"/>
    </w:rPr>
  </w:style>
  <w:style w:type="paragraph" w:styleId="IntenseQuote">
    <w:name w:val="Intense Quote"/>
    <w:basedOn w:val="Normal"/>
    <w:next w:val="Normal"/>
    <w:link w:val="IntenseQuoteChar"/>
    <w:uiPriority w:val="30"/>
    <w:qFormat/>
    <w:rsid w:val="00884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CF9"/>
    <w:rPr>
      <w:i/>
      <w:iCs/>
      <w:noProof/>
      <w:color w:val="2F5496" w:themeColor="accent1" w:themeShade="BF"/>
    </w:rPr>
  </w:style>
  <w:style w:type="character" w:styleId="IntenseReference">
    <w:name w:val="Intense Reference"/>
    <w:basedOn w:val="DefaultParagraphFont"/>
    <w:uiPriority w:val="32"/>
    <w:qFormat/>
    <w:rsid w:val="00884CF9"/>
    <w:rPr>
      <w:b/>
      <w:bCs/>
      <w:smallCaps/>
      <w:color w:val="2F5496" w:themeColor="accent1" w:themeShade="BF"/>
      <w:spacing w:val="5"/>
    </w:rPr>
  </w:style>
  <w:style w:type="paragraph" w:styleId="NoSpacing">
    <w:name w:val="No Spacing"/>
    <w:uiPriority w:val="1"/>
    <w:qFormat/>
    <w:rsid w:val="00884CF9"/>
    <w:pPr>
      <w:spacing w:after="0" w:line="240" w:lineRule="auto"/>
    </w:pPr>
    <w:rPr>
      <w:noProof/>
    </w:rPr>
  </w:style>
  <w:style w:type="character" w:styleId="Hyperlink">
    <w:name w:val="Hyperlink"/>
    <w:basedOn w:val="DefaultParagraphFont"/>
    <w:uiPriority w:val="99"/>
    <w:unhideWhenUsed/>
    <w:rsid w:val="00A71158"/>
    <w:rPr>
      <w:color w:val="0563C1" w:themeColor="hyperlink"/>
      <w:u w:val="single"/>
    </w:rPr>
  </w:style>
  <w:style w:type="character" w:styleId="UnresolvedMention">
    <w:name w:val="Unresolved Mention"/>
    <w:basedOn w:val="DefaultParagraphFont"/>
    <w:uiPriority w:val="99"/>
    <w:semiHidden/>
    <w:unhideWhenUsed/>
    <w:rsid w:val="00A71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vork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Ljerka Pavlović</dc:creator>
  <cp:keywords/>
  <dc:description/>
  <cp:lastModifiedBy>Ljerka Pavlović</cp:lastModifiedBy>
  <cp:revision>2</cp:revision>
  <cp:lastPrinted>2025-11-07T07:39:00Z</cp:lastPrinted>
  <dcterms:created xsi:type="dcterms:W3CDTF">2025-11-11T08:31:00Z</dcterms:created>
  <dcterms:modified xsi:type="dcterms:W3CDTF">2025-11-11T08:31:00Z</dcterms:modified>
</cp:coreProperties>
</file>