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1F13D" w14:textId="77777777" w:rsidR="009E472C" w:rsidRPr="007579B0" w:rsidRDefault="009E472C" w:rsidP="009E4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579B0">
        <w:rPr>
          <w:rFonts w:ascii="Times New Roman" w:hAnsi="Times New Roman" w:cs="Times New Roman"/>
          <w:b/>
          <w:bCs/>
          <w:sz w:val="24"/>
          <w:szCs w:val="24"/>
        </w:rPr>
        <w:t xml:space="preserve">Obrazloženje </w:t>
      </w:r>
    </w:p>
    <w:p w14:paraId="18C0B137" w14:textId="77777777" w:rsidR="009E472C" w:rsidRPr="007579B0" w:rsidRDefault="009E472C" w:rsidP="009E4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9B0">
        <w:rPr>
          <w:rFonts w:ascii="Times New Roman" w:hAnsi="Times New Roman" w:cs="Times New Roman"/>
          <w:b/>
          <w:bCs/>
          <w:sz w:val="24"/>
          <w:szCs w:val="24"/>
        </w:rPr>
        <w:t xml:space="preserve">Prijedloga Proračuna Općine </w:t>
      </w:r>
      <w:r w:rsidR="006D03F8">
        <w:rPr>
          <w:rFonts w:ascii="Times New Roman" w:hAnsi="Times New Roman" w:cs="Times New Roman"/>
          <w:b/>
          <w:bCs/>
          <w:sz w:val="24"/>
          <w:szCs w:val="24"/>
        </w:rPr>
        <w:t>Dvor</w:t>
      </w:r>
      <w:r w:rsidRPr="007579B0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840E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579B0">
        <w:rPr>
          <w:rFonts w:ascii="Times New Roman" w:hAnsi="Times New Roman" w:cs="Times New Roman"/>
          <w:b/>
          <w:bCs/>
          <w:sz w:val="24"/>
          <w:szCs w:val="24"/>
        </w:rPr>
        <w:t xml:space="preserve">. godinu i </w:t>
      </w:r>
    </w:p>
    <w:p w14:paraId="335B4ECB" w14:textId="77777777" w:rsidR="009E472C" w:rsidRPr="007579B0" w:rsidRDefault="009E472C" w:rsidP="00AF7F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9B0">
        <w:rPr>
          <w:rFonts w:ascii="Times New Roman" w:hAnsi="Times New Roman" w:cs="Times New Roman"/>
          <w:b/>
          <w:bCs/>
          <w:sz w:val="24"/>
          <w:szCs w:val="24"/>
        </w:rPr>
        <w:t>projekcija za 202</w:t>
      </w:r>
      <w:r w:rsidR="00840EC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579B0">
        <w:rPr>
          <w:rFonts w:ascii="Times New Roman" w:hAnsi="Times New Roman" w:cs="Times New Roman"/>
          <w:b/>
          <w:bCs/>
          <w:sz w:val="24"/>
          <w:szCs w:val="24"/>
        </w:rPr>
        <w:t xml:space="preserve"> i 202</w:t>
      </w:r>
      <w:r w:rsidR="00840E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579B0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50EA83FB" w14:textId="77777777" w:rsidR="009E472C" w:rsidRPr="007579B0" w:rsidRDefault="009E472C" w:rsidP="009E47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9B0">
        <w:rPr>
          <w:rFonts w:ascii="Times New Roman" w:hAnsi="Times New Roman" w:cs="Times New Roman"/>
          <w:b/>
          <w:bCs/>
          <w:sz w:val="24"/>
          <w:szCs w:val="24"/>
        </w:rPr>
        <w:t>UVOD</w:t>
      </w:r>
    </w:p>
    <w:p w14:paraId="4FD623E7" w14:textId="77777777" w:rsidR="009E472C" w:rsidRPr="007579B0" w:rsidRDefault="009E472C" w:rsidP="00BB3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9B0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Zakonu o proračunu (Narodne nov</w:t>
      </w:r>
      <w:r w:rsidR="00355CF2">
        <w:rPr>
          <w:rFonts w:ascii="Times New Roman" w:eastAsia="Times New Roman" w:hAnsi="Times New Roman" w:cs="Times New Roman"/>
          <w:sz w:val="24"/>
          <w:szCs w:val="24"/>
          <w:lang w:eastAsia="hr-HR"/>
        </w:rPr>
        <w:t>ine, br. 144/21</w:t>
      </w:r>
      <w:r w:rsidRPr="007579B0">
        <w:rPr>
          <w:rFonts w:ascii="Times New Roman" w:eastAsia="Times New Roman" w:hAnsi="Times New Roman" w:cs="Times New Roman"/>
          <w:sz w:val="24"/>
          <w:szCs w:val="24"/>
          <w:lang w:eastAsia="hr-HR"/>
        </w:rPr>
        <w:t>.),  predstavničko tijelo jedinice lokalne i područne (regionalne) samouprave obvezno je do kraja tekuće godine donijeti proračun za iduću, kao i projekciju proračuna za sljedeće dvije proračunske godine. Uz proračun se donosi i Odluka o izvršavanju proračuna za narednu godinu.</w:t>
      </w:r>
    </w:p>
    <w:p w14:paraId="652C2816" w14:textId="77777777" w:rsidR="00BB368F" w:rsidRDefault="009E472C" w:rsidP="00BB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B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579B0">
        <w:rPr>
          <w:rFonts w:ascii="Times New Roman" w:hAnsi="Times New Roman" w:cs="Times New Roman"/>
          <w:sz w:val="24"/>
          <w:szCs w:val="24"/>
        </w:rPr>
        <w:t>Metodologija za izradu proračuna jedinice lokalne i područne (regionalne) samouprave propisana je Zakonom o proračunu i pod zakonskim aktima kojima se regulira provedba Zakona, ponajprije Pravilnikom o proračunskim klasifikacijama (Narodne novine, br. 26/10</w:t>
      </w:r>
      <w:r w:rsidR="00801B86" w:rsidRPr="007579B0">
        <w:rPr>
          <w:rFonts w:ascii="Times New Roman" w:hAnsi="Times New Roman" w:cs="Times New Roman"/>
          <w:sz w:val="24"/>
          <w:szCs w:val="24"/>
        </w:rPr>
        <w:t>.</w:t>
      </w:r>
      <w:r w:rsidRPr="007579B0">
        <w:rPr>
          <w:rFonts w:ascii="Times New Roman" w:hAnsi="Times New Roman" w:cs="Times New Roman"/>
          <w:sz w:val="24"/>
          <w:szCs w:val="24"/>
        </w:rPr>
        <w:t xml:space="preserve"> i 120/13</w:t>
      </w:r>
      <w:r w:rsidR="00801B86" w:rsidRPr="007579B0">
        <w:rPr>
          <w:rFonts w:ascii="Times New Roman" w:hAnsi="Times New Roman" w:cs="Times New Roman"/>
          <w:sz w:val="24"/>
          <w:szCs w:val="24"/>
        </w:rPr>
        <w:t>.</w:t>
      </w:r>
      <w:r w:rsidRPr="007579B0">
        <w:rPr>
          <w:rFonts w:ascii="Times New Roman" w:hAnsi="Times New Roman" w:cs="Times New Roman"/>
          <w:sz w:val="24"/>
          <w:szCs w:val="24"/>
        </w:rPr>
        <w:t>) i Pravilnikom o proračunskom računovodstvu i Računskom planu (Narodne novine, br. 124/14</w:t>
      </w:r>
      <w:r w:rsidR="00801B86" w:rsidRPr="007579B0">
        <w:rPr>
          <w:rFonts w:ascii="Times New Roman" w:hAnsi="Times New Roman" w:cs="Times New Roman"/>
          <w:sz w:val="24"/>
          <w:szCs w:val="24"/>
        </w:rPr>
        <w:t>.,</w:t>
      </w:r>
      <w:r w:rsidR="00801B86" w:rsidRPr="007579B0">
        <w:rPr>
          <w:rFonts w:ascii="Times New Roman" w:hAnsi="Times New Roman" w:cs="Times New Roman"/>
          <w:sz w:val="24"/>
          <w:szCs w:val="24"/>
          <w:lang w:eastAsia="hr-HR"/>
        </w:rPr>
        <w:t xml:space="preserve"> 115/15., 87/16. i 3/18</w:t>
      </w:r>
      <w:r w:rsidRPr="007579B0">
        <w:rPr>
          <w:rFonts w:ascii="Times New Roman" w:hAnsi="Times New Roman" w:cs="Times New Roman"/>
          <w:sz w:val="24"/>
          <w:szCs w:val="24"/>
        </w:rPr>
        <w:t xml:space="preserve">). </w:t>
      </w:r>
      <w:r w:rsidR="007579B0">
        <w:rPr>
          <w:rFonts w:ascii="Times New Roman" w:hAnsi="Times New Roman" w:cs="Times New Roman"/>
          <w:sz w:val="24"/>
          <w:szCs w:val="24"/>
        </w:rPr>
        <w:t>Temeljem naprijed navedenog,  p</w:t>
      </w:r>
      <w:r w:rsidR="007579B0" w:rsidRPr="007579B0">
        <w:rPr>
          <w:rFonts w:ascii="Times New Roman" w:hAnsi="Times New Roman" w:cs="Times New Roman"/>
          <w:sz w:val="24"/>
          <w:szCs w:val="24"/>
        </w:rPr>
        <w:t>redstavničko tijelo jedinice lokalne i područne (regionalne) samouprave</w:t>
      </w:r>
      <w:r w:rsidR="007579B0">
        <w:rPr>
          <w:rFonts w:ascii="Times New Roman" w:hAnsi="Times New Roman" w:cs="Times New Roman"/>
          <w:sz w:val="24"/>
          <w:szCs w:val="24"/>
        </w:rPr>
        <w:t>,</w:t>
      </w:r>
      <w:r w:rsidR="007579B0" w:rsidRPr="007579B0">
        <w:rPr>
          <w:rFonts w:ascii="Times New Roman" w:hAnsi="Times New Roman" w:cs="Times New Roman"/>
          <w:sz w:val="24"/>
          <w:szCs w:val="24"/>
        </w:rPr>
        <w:t xml:space="preserve"> donosi proračun jedinice lokalne i područne (regionalne) samouprave za 20</w:t>
      </w:r>
      <w:r w:rsidR="007579B0">
        <w:rPr>
          <w:rFonts w:ascii="Times New Roman" w:hAnsi="Times New Roman" w:cs="Times New Roman"/>
          <w:sz w:val="24"/>
          <w:szCs w:val="24"/>
        </w:rPr>
        <w:t>2</w:t>
      </w:r>
      <w:r w:rsidR="00355CF2">
        <w:rPr>
          <w:rFonts w:ascii="Times New Roman" w:hAnsi="Times New Roman" w:cs="Times New Roman"/>
          <w:sz w:val="24"/>
          <w:szCs w:val="24"/>
        </w:rPr>
        <w:t>3</w:t>
      </w:r>
      <w:r w:rsidR="007579B0" w:rsidRPr="007579B0">
        <w:rPr>
          <w:rFonts w:ascii="Times New Roman" w:hAnsi="Times New Roman" w:cs="Times New Roman"/>
          <w:sz w:val="24"/>
          <w:szCs w:val="24"/>
        </w:rPr>
        <w:t>. go</w:t>
      </w:r>
      <w:r w:rsidR="00355CF2">
        <w:rPr>
          <w:rFonts w:ascii="Times New Roman" w:hAnsi="Times New Roman" w:cs="Times New Roman"/>
          <w:sz w:val="24"/>
          <w:szCs w:val="24"/>
        </w:rPr>
        <w:t>dinu na razini podskupine (druga</w:t>
      </w:r>
      <w:r w:rsidR="007579B0" w:rsidRPr="007579B0">
        <w:rPr>
          <w:rFonts w:ascii="Times New Roman" w:hAnsi="Times New Roman" w:cs="Times New Roman"/>
          <w:sz w:val="24"/>
          <w:szCs w:val="24"/>
        </w:rPr>
        <w:t xml:space="preserve"> razina računskog plana), a projekcije za 20</w:t>
      </w:r>
      <w:r w:rsidR="007579B0">
        <w:rPr>
          <w:rFonts w:ascii="Times New Roman" w:hAnsi="Times New Roman" w:cs="Times New Roman"/>
          <w:sz w:val="24"/>
          <w:szCs w:val="24"/>
        </w:rPr>
        <w:t>2</w:t>
      </w:r>
      <w:r w:rsidR="00355CF2">
        <w:rPr>
          <w:rFonts w:ascii="Times New Roman" w:hAnsi="Times New Roman" w:cs="Times New Roman"/>
          <w:sz w:val="24"/>
          <w:szCs w:val="24"/>
        </w:rPr>
        <w:t>4</w:t>
      </w:r>
      <w:r w:rsidR="007579B0" w:rsidRPr="007579B0">
        <w:rPr>
          <w:rFonts w:ascii="Times New Roman" w:hAnsi="Times New Roman" w:cs="Times New Roman"/>
          <w:sz w:val="24"/>
          <w:szCs w:val="24"/>
        </w:rPr>
        <w:t>. i 20</w:t>
      </w:r>
      <w:r w:rsidR="007579B0">
        <w:rPr>
          <w:rFonts w:ascii="Times New Roman" w:hAnsi="Times New Roman" w:cs="Times New Roman"/>
          <w:sz w:val="24"/>
          <w:szCs w:val="24"/>
        </w:rPr>
        <w:t>2</w:t>
      </w:r>
      <w:r w:rsidR="00355CF2">
        <w:rPr>
          <w:rFonts w:ascii="Times New Roman" w:hAnsi="Times New Roman" w:cs="Times New Roman"/>
          <w:sz w:val="24"/>
          <w:szCs w:val="24"/>
        </w:rPr>
        <w:t>5</w:t>
      </w:r>
      <w:r w:rsidR="007579B0" w:rsidRPr="007579B0">
        <w:rPr>
          <w:rFonts w:ascii="Times New Roman" w:hAnsi="Times New Roman" w:cs="Times New Roman"/>
          <w:sz w:val="24"/>
          <w:szCs w:val="24"/>
        </w:rPr>
        <w:t>. godinu na razini skupine (druga razina računskog plana).</w:t>
      </w:r>
      <w:r w:rsidR="007579B0">
        <w:rPr>
          <w:rFonts w:ascii="Times New Roman" w:hAnsi="Times New Roman" w:cs="Times New Roman"/>
          <w:sz w:val="24"/>
          <w:szCs w:val="24"/>
        </w:rPr>
        <w:t xml:space="preserve"> Ova, zakonom propisana, manje detaljna razina planskih podataka opravdava se većom fleksibilnošću u izvršavanju proračuna.</w:t>
      </w:r>
      <w:r w:rsidR="00BB3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AC5A8" w14:textId="77777777" w:rsidR="009E472C" w:rsidRDefault="00BB368F" w:rsidP="00771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o proračunskim klasifikacijama  propisano je da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organizacijska klasifikacija uspostavlja definiranjem razdjela, glave i proračunskih korisnika. </w:t>
      </w:r>
      <w:r w:rsidR="00771ACB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BB368F">
        <w:rPr>
          <w:rFonts w:ascii="Times New Roman" w:eastAsia="Times New Roman" w:hAnsi="Times New Roman" w:cs="Times New Roman"/>
          <w:sz w:val="24"/>
          <w:szCs w:val="24"/>
          <w:lang w:eastAsia="hr-HR"/>
        </w:rPr>
        <w:t>rojčana oznaka razdjela  sastoji se od troznamenkastog broja te peteroznamenkastog broja za glavu gdje prve tri znamenke označavaju pripadnost razdjelu, a četvrta i peta znamenka označavaju glavu unutar razdjela.</w:t>
      </w:r>
      <w:r w:rsidR="00771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naprijed navedenom u Proračunu Općine </w:t>
      </w:r>
      <w:r w:rsidR="006D03F8">
        <w:rPr>
          <w:rFonts w:ascii="Times New Roman" w:eastAsia="Times New Roman" w:hAnsi="Times New Roman" w:cs="Times New Roman"/>
          <w:sz w:val="24"/>
          <w:szCs w:val="24"/>
          <w:lang w:eastAsia="hr-HR"/>
        </w:rPr>
        <w:t>Dvor</w:t>
      </w:r>
      <w:r w:rsidR="00771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utvrđena su sljedeći razdjeli i glave:</w:t>
      </w:r>
    </w:p>
    <w:p w14:paraId="3A4DACED" w14:textId="77777777" w:rsidR="00771ACB" w:rsidRPr="00771ACB" w:rsidRDefault="00771ACB" w:rsidP="00771AC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ACB">
        <w:rPr>
          <w:rFonts w:ascii="Times New Roman" w:hAnsi="Times New Roman" w:cs="Times New Roman"/>
          <w:b/>
          <w:bCs/>
          <w:sz w:val="24"/>
          <w:szCs w:val="24"/>
        </w:rPr>
        <w:t xml:space="preserve">001 </w:t>
      </w:r>
      <w:r w:rsidR="006D03F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71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3F8">
        <w:rPr>
          <w:rFonts w:ascii="Times New Roman" w:hAnsi="Times New Roman" w:cs="Times New Roman"/>
          <w:b/>
          <w:bCs/>
          <w:sz w:val="24"/>
          <w:szCs w:val="24"/>
        </w:rPr>
        <w:t>Općinska tijela</w:t>
      </w:r>
    </w:p>
    <w:p w14:paraId="50EFD358" w14:textId="77777777" w:rsidR="00771ACB" w:rsidRDefault="00771ACB" w:rsidP="00771AC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00101- </w:t>
      </w:r>
      <w:r w:rsidR="006D03F8">
        <w:rPr>
          <w:rFonts w:ascii="Times New Roman" w:hAnsi="Times New Roman" w:cs="Times New Roman"/>
          <w:sz w:val="24"/>
          <w:szCs w:val="24"/>
        </w:rPr>
        <w:t xml:space="preserve">Predstavnička i izvršna </w:t>
      </w:r>
      <w:r w:rsidR="00574CCE">
        <w:rPr>
          <w:rFonts w:ascii="Times New Roman" w:hAnsi="Times New Roman" w:cs="Times New Roman"/>
          <w:sz w:val="24"/>
          <w:szCs w:val="24"/>
        </w:rPr>
        <w:t>tijela</w:t>
      </w:r>
    </w:p>
    <w:p w14:paraId="1B8BA93E" w14:textId="77777777" w:rsidR="00771ACB" w:rsidRPr="00771ACB" w:rsidRDefault="00771ACB" w:rsidP="00771AC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00102- </w:t>
      </w:r>
      <w:r w:rsidR="006D03F8">
        <w:rPr>
          <w:rFonts w:ascii="Times New Roman" w:hAnsi="Times New Roman" w:cs="Times New Roman"/>
          <w:sz w:val="24"/>
          <w:szCs w:val="24"/>
        </w:rPr>
        <w:t>Savjetodavna tijela</w:t>
      </w:r>
    </w:p>
    <w:p w14:paraId="57E873EF" w14:textId="77777777" w:rsidR="00771ACB" w:rsidRPr="00771ACB" w:rsidRDefault="00771ACB" w:rsidP="00771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1AC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6D03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71AC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D03F8">
        <w:rPr>
          <w:rFonts w:ascii="Times New Roman" w:hAnsi="Times New Roman" w:cs="Times New Roman"/>
          <w:b/>
          <w:bCs/>
          <w:sz w:val="24"/>
          <w:szCs w:val="24"/>
        </w:rPr>
        <w:t>Jedinstveni upravni odjel</w:t>
      </w:r>
    </w:p>
    <w:p w14:paraId="0BB46B73" w14:textId="77777777" w:rsidR="00771ACB" w:rsidRDefault="00771ACB" w:rsidP="0077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00</w:t>
      </w:r>
      <w:r w:rsidR="006D03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01- </w:t>
      </w:r>
      <w:r w:rsidR="006D03F8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238AC32A" w14:textId="77777777" w:rsidR="00771ACB" w:rsidRDefault="00771ACB" w:rsidP="0077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00</w:t>
      </w:r>
      <w:r w:rsidR="006D03F8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03F8">
        <w:rPr>
          <w:rFonts w:ascii="Times New Roman" w:hAnsi="Times New Roman" w:cs="Times New Roman"/>
          <w:sz w:val="24"/>
          <w:szCs w:val="24"/>
        </w:rPr>
        <w:t xml:space="preserve"> Knjižnica i čitaonica</w:t>
      </w:r>
    </w:p>
    <w:p w14:paraId="1D6DF86E" w14:textId="77777777" w:rsidR="00771ACB" w:rsidRDefault="00771ACB" w:rsidP="0077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00</w:t>
      </w:r>
      <w:r w:rsidR="006D03F8"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03F8">
        <w:rPr>
          <w:rFonts w:ascii="Times New Roman" w:hAnsi="Times New Roman" w:cs="Times New Roman"/>
          <w:sz w:val="24"/>
          <w:szCs w:val="24"/>
        </w:rPr>
        <w:t>Dječji vrtić „Sunce“</w:t>
      </w:r>
    </w:p>
    <w:p w14:paraId="1EE04318" w14:textId="77777777" w:rsidR="00771ACB" w:rsidRDefault="00771ACB" w:rsidP="00771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ACB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navedenom Pravilniku, programska klasifikacija se uspostavlja definiranjem programa, aktivnosti i projekata. Program se sastoji od jedne ili više aktivnosti (ili projekata), a aktivnost i projekt pripadaju samo jednom programu.</w:t>
      </w:r>
      <w:r w:rsidR="002645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508" w:rsidRPr="00264508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 programa sastoji se od četveroznamenkaste brojke u rasponu od 1000 do 9999. Brojčana oznaka aktivnosti, tekućeg ili kapitalnog projekta je sedmeroznamenkasta oznaka koja se sastoji od slova A, T ili K i šesteroznamenkastog broja u rasponu od 100001 do 999999.</w:t>
      </w:r>
    </w:p>
    <w:p w14:paraId="1C7AACDD" w14:textId="77777777" w:rsidR="009E472C" w:rsidRPr="00187A47" w:rsidRDefault="00264508" w:rsidP="0018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508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Ekonomska klasifikacija proračuna prikaz je prihoda i primitaka po prirodnim vrstama te rashoda i izdataka prema ekonomskoj namjeni kojoj služe. Pravilnikom o proračunskom računovodstvu i Računskom planu utvrđene su brojčane oznake i nazivi skupina/podskupina/računa.</w:t>
      </w:r>
    </w:p>
    <w:p w14:paraId="29465628" w14:textId="77777777" w:rsidR="009E472C" w:rsidRPr="00F34E0F" w:rsidRDefault="009E472C" w:rsidP="00187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34E0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financija je</w:t>
      </w:r>
      <w:r w:rsidR="00F34E0F" w:rsidRPr="00F34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9AC">
        <w:rPr>
          <w:rFonts w:ascii="Times New Roman" w:eastAsia="Times New Roman" w:hAnsi="Times New Roman" w:cs="Times New Roman"/>
          <w:sz w:val="24"/>
          <w:szCs w:val="24"/>
          <w:lang w:eastAsia="hr-HR"/>
        </w:rPr>
        <w:t>krajem</w:t>
      </w:r>
      <w:r w:rsidR="00355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kolovoza</w:t>
      </w:r>
      <w:r w:rsidR="00F34E0F" w:rsidRPr="00F34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4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7A47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dostavilo</w:t>
      </w:r>
      <w:r w:rsidRPr="00F34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Upute za izradu proračuna jedinica lokalne i </w:t>
      </w:r>
      <w:r w:rsidRPr="00F34E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područne (regionalne) samouprave za razdoblje 202</w:t>
      </w:r>
      <w:r w:rsidR="00355C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F34E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- 202</w:t>
      </w:r>
      <w:r w:rsidR="00355C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Pr="00F34E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(dalje u tekstu: Upute).</w:t>
      </w:r>
    </w:p>
    <w:p w14:paraId="0A63F508" w14:textId="77777777" w:rsidR="009E472C" w:rsidRDefault="00187A47" w:rsidP="008F188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9E472C" w:rsidRPr="00F34E0F">
        <w:rPr>
          <w:rFonts w:ascii="Times New Roman" w:eastAsia="Times New Roman" w:hAnsi="Times New Roman" w:cs="Times New Roman"/>
          <w:sz w:val="24"/>
          <w:szCs w:val="24"/>
          <w:lang w:eastAsia="hr-HR"/>
        </w:rPr>
        <w:t>Uput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ama Ministarstva financija </w:t>
      </w:r>
      <w:r w:rsidR="007D3E8A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pročelnik Jedinstvenog upravnog odjela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18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donio Upute za izradu Proračuna </w:t>
      </w:r>
      <w:r w:rsidR="008F18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="006D03F8">
        <w:rPr>
          <w:rFonts w:ascii="Times New Roman" w:eastAsia="Times New Roman" w:hAnsi="Times New Roman" w:cs="Times New Roman"/>
          <w:sz w:val="24"/>
          <w:szCs w:val="24"/>
          <w:lang w:eastAsia="hr-HR"/>
        </w:rPr>
        <w:t>Dvor</w:t>
      </w:r>
      <w:r w:rsidR="008F18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razdoblje 202</w:t>
      </w:r>
      <w:r w:rsidR="00355CF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F1881">
        <w:rPr>
          <w:rFonts w:ascii="Times New Roman" w:eastAsia="Times New Roman" w:hAnsi="Times New Roman" w:cs="Times New Roman"/>
          <w:sz w:val="24"/>
          <w:szCs w:val="24"/>
          <w:lang w:eastAsia="hr-HR"/>
        </w:rPr>
        <w:t>.-202</w:t>
      </w:r>
      <w:r w:rsidR="00355C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8F188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9E472C" w:rsidRPr="00F34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1881">
        <w:rPr>
          <w:rFonts w:ascii="Times New Roman" w:eastAsia="Times New Roman" w:hAnsi="Times New Roman" w:cs="Times New Roman"/>
          <w:sz w:val="24"/>
          <w:szCs w:val="24"/>
          <w:lang w:eastAsia="hr-HR"/>
        </w:rPr>
        <w:t>te je iste dostavio proračunskim korisnicima.</w:t>
      </w:r>
    </w:p>
    <w:p w14:paraId="37BBE5BC" w14:textId="77777777" w:rsidR="003421D5" w:rsidRDefault="003421D5" w:rsidP="00873A8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Sukladno članku 28</w:t>
      </w:r>
      <w:r w:rsidR="00873A84" w:rsidRPr="00873A84">
        <w:rPr>
          <w:rFonts w:ascii="Times New Roman" w:hAnsi="Times New Roman" w:cs="Times New Roman"/>
          <w:sz w:val="24"/>
          <w:szCs w:val="24"/>
        </w:rPr>
        <w:t xml:space="preserve">. Zakona o proračunu Proračun jedinice lokalne i područne (regionalne) samouprave sastoji se od </w:t>
      </w:r>
      <w:r>
        <w:rPr>
          <w:rFonts w:ascii="Times New Roman" w:hAnsi="Times New Roman" w:cs="Times New Roman"/>
          <w:sz w:val="24"/>
          <w:szCs w:val="24"/>
        </w:rPr>
        <w:t xml:space="preserve">plana za proračunsku godinu i projekcija za slijedeće dvije godine, a sadrži financijske planove proračunskih korisnika prikazane kroz opći i posebni dio i obrazloženje proračuna. </w:t>
      </w:r>
    </w:p>
    <w:p w14:paraId="3E692F1E" w14:textId="77777777" w:rsidR="003421D5" w:rsidRDefault="003421D5" w:rsidP="00873A8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proračuna sastoji se od sažetka Računa prihoda i rashoda i Računa financiranja.</w:t>
      </w:r>
    </w:p>
    <w:p w14:paraId="64417939" w14:textId="77777777" w:rsidR="003421D5" w:rsidRDefault="003421D5" w:rsidP="00873A8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 sastoji se od prihoda i rashoda iskazanih prema izvorima financiranja i ekonomskoj klasifikaciji, te rashoda iskazanih prema funkcijskoj klasifikaciji.</w:t>
      </w:r>
    </w:p>
    <w:p w14:paraId="3ED46C0E" w14:textId="77777777" w:rsidR="003421D5" w:rsidRDefault="003421D5" w:rsidP="00873A8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76422196" w14:textId="77777777" w:rsidR="003421D5" w:rsidRDefault="003421D5" w:rsidP="00873A8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Posebni dio </w:t>
      </w:r>
      <w:r w:rsidR="00873A84" w:rsidRPr="00873A84">
        <w:rPr>
          <w:rFonts w:ascii="Times New Roman" w:hAnsi="Times New Roman" w:cs="Times New Roman"/>
          <w:sz w:val="24"/>
          <w:szCs w:val="24"/>
        </w:rPr>
        <w:t>proračuna</w:t>
      </w:r>
      <w:r>
        <w:rPr>
          <w:rFonts w:ascii="Times New Roman" w:hAnsi="Times New Roman" w:cs="Times New Roman"/>
          <w:sz w:val="24"/>
          <w:szCs w:val="24"/>
        </w:rPr>
        <w:t xml:space="preserve"> sastoji se od plana rashoda i izdataka JLPRS i njihovih proračunskih korisnika iskazanih po organizacijskoj klasifikaciji, izvorima financiranja i ekonomskoj klasifikaciji, raspoređenih u programe koji se sastoje od aktivnosti i projekata</w:t>
      </w:r>
      <w:r w:rsidR="003351F5">
        <w:rPr>
          <w:rFonts w:ascii="Times New Roman" w:hAnsi="Times New Roman" w:cs="Times New Roman"/>
          <w:sz w:val="24"/>
          <w:szCs w:val="24"/>
        </w:rPr>
        <w:t>.</w:t>
      </w:r>
      <w:r w:rsidR="003351F5" w:rsidRPr="003351F5">
        <w:rPr>
          <w:rFonts w:ascii="Times New Roman" w:hAnsi="Times New Roman" w:cs="Times New Roman"/>
          <w:sz w:val="24"/>
          <w:szCs w:val="24"/>
        </w:rPr>
        <w:t xml:space="preserve"> </w:t>
      </w:r>
      <w:r w:rsidR="003351F5" w:rsidRPr="00873A84">
        <w:rPr>
          <w:rFonts w:ascii="Times New Roman" w:hAnsi="Times New Roman" w:cs="Times New Roman"/>
          <w:sz w:val="24"/>
          <w:szCs w:val="24"/>
        </w:rPr>
        <w:t xml:space="preserve">kojih su nositelji </w:t>
      </w:r>
      <w:r w:rsidR="003351F5">
        <w:rPr>
          <w:rFonts w:ascii="Times New Roman" w:hAnsi="Times New Roman" w:cs="Times New Roman"/>
          <w:sz w:val="24"/>
          <w:szCs w:val="24"/>
        </w:rPr>
        <w:t>Jedinstveni upravni odjel</w:t>
      </w:r>
      <w:r w:rsidR="003351F5" w:rsidRPr="00873A84">
        <w:rPr>
          <w:rFonts w:ascii="Times New Roman" w:hAnsi="Times New Roman" w:cs="Times New Roman"/>
          <w:sz w:val="24"/>
          <w:szCs w:val="24"/>
        </w:rPr>
        <w:t xml:space="preserve"> i proračunski korisnici</w:t>
      </w:r>
    </w:p>
    <w:p w14:paraId="620F62CA" w14:textId="77777777" w:rsidR="003421D5" w:rsidRDefault="003421D5" w:rsidP="00873A8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34DBD6C" w14:textId="77777777" w:rsidR="009E472C" w:rsidRPr="00873A84" w:rsidRDefault="00873A84" w:rsidP="00873A84">
      <w:pPr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A84">
        <w:rPr>
          <w:rFonts w:ascii="Times New Roman" w:hAnsi="Times New Roman" w:cs="Times New Roman"/>
          <w:sz w:val="24"/>
          <w:szCs w:val="24"/>
        </w:rPr>
        <w:t xml:space="preserve">Pri izradi proračuna potrebno je pridržavati se temeljnih proračunskih načela </w:t>
      </w:r>
      <w:r w:rsidR="003351F5">
        <w:rPr>
          <w:rFonts w:ascii="Times New Roman" w:hAnsi="Times New Roman" w:cs="Times New Roman"/>
          <w:sz w:val="24"/>
          <w:szCs w:val="24"/>
        </w:rPr>
        <w:t xml:space="preserve">jedinstva i točnosti, proračunske godine, višegodišnjeg planiranja, načela uravnoteženosti, obračunske jedinice, univerzalnosti, specifikacije, dobrog financijskog upravljanja i načela </w:t>
      </w:r>
      <w:r w:rsidRPr="00873A84">
        <w:rPr>
          <w:rFonts w:ascii="Times New Roman" w:hAnsi="Times New Roman" w:cs="Times New Roman"/>
          <w:sz w:val="24"/>
          <w:szCs w:val="24"/>
        </w:rPr>
        <w:t>transparentnosti. Proračun mora biti uravnotežen odnosno ukupni rashodi i izdaci moraju biti jednaki ukupnim prihodima i primicima. Proračunom se iskazuju svi prihodi i primici te rashodi i izdaci koji se planiraju prema organizacijskoj, ekonomskoj, funkcijskoj, programskoj i lokacijskoj klasifikaciji</w:t>
      </w:r>
      <w:r w:rsidR="003351F5">
        <w:rPr>
          <w:rFonts w:ascii="Times New Roman" w:hAnsi="Times New Roman" w:cs="Times New Roman"/>
          <w:sz w:val="24"/>
          <w:szCs w:val="24"/>
        </w:rPr>
        <w:t>,</w:t>
      </w:r>
      <w:r w:rsidRPr="00873A84">
        <w:rPr>
          <w:rFonts w:ascii="Times New Roman" w:hAnsi="Times New Roman" w:cs="Times New Roman"/>
          <w:sz w:val="24"/>
          <w:szCs w:val="24"/>
        </w:rPr>
        <w:t xml:space="preserve"> te izvorima financiranja. U proračunu se rashodi i izdaci vežu uz programe odnosno uz aktivnosti, kapitalne i tekuće projekte prema izvorima iz kojih će se financirati. U proračunu su sadržani i konsolidirani planovi svih proračunskih korisnika izrađeni po programima</w:t>
      </w:r>
      <w:r w:rsidR="003351F5">
        <w:rPr>
          <w:rFonts w:ascii="Times New Roman" w:hAnsi="Times New Roman" w:cs="Times New Roman"/>
          <w:sz w:val="24"/>
          <w:szCs w:val="24"/>
        </w:rPr>
        <w:t>,</w:t>
      </w:r>
      <w:r w:rsidRPr="00873A84">
        <w:rPr>
          <w:rFonts w:ascii="Times New Roman" w:hAnsi="Times New Roman" w:cs="Times New Roman"/>
          <w:sz w:val="24"/>
          <w:szCs w:val="24"/>
        </w:rPr>
        <w:t xml:space="preserve"> te usklađeni s proračunom i važećim posebnim zakonima. Iz navedenog proizlazi obveza uključivanja svih prihoda i primitaka, rashoda i izdataka koje proračunski korisnici ostvare od obavljanja poslova na tržištu u proračun jedinice lokalne i područne (regionalne) samouprave sukladno proračunskim klasifikacijama. Nastavno se daje obrazloženje Općeg dijela proračuna za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51F5">
        <w:rPr>
          <w:rFonts w:ascii="Times New Roman" w:hAnsi="Times New Roman" w:cs="Times New Roman"/>
          <w:sz w:val="24"/>
          <w:szCs w:val="24"/>
        </w:rPr>
        <w:t>3</w:t>
      </w:r>
      <w:r w:rsidRPr="00873A84">
        <w:rPr>
          <w:rFonts w:ascii="Times New Roman" w:hAnsi="Times New Roman" w:cs="Times New Roman"/>
          <w:sz w:val="24"/>
          <w:szCs w:val="24"/>
        </w:rPr>
        <w:t>. godinu i projekcija za 202</w:t>
      </w:r>
      <w:r w:rsidR="003351F5">
        <w:rPr>
          <w:rFonts w:ascii="Times New Roman" w:hAnsi="Times New Roman" w:cs="Times New Roman"/>
          <w:sz w:val="24"/>
          <w:szCs w:val="24"/>
        </w:rPr>
        <w:t>4</w:t>
      </w:r>
      <w:r w:rsidRPr="00873A84">
        <w:rPr>
          <w:rFonts w:ascii="Times New Roman" w:hAnsi="Times New Roman" w:cs="Times New Roman"/>
          <w:sz w:val="24"/>
          <w:szCs w:val="24"/>
        </w:rPr>
        <w:t>. i 202</w:t>
      </w:r>
      <w:r w:rsidR="003351F5">
        <w:rPr>
          <w:rFonts w:ascii="Times New Roman" w:hAnsi="Times New Roman" w:cs="Times New Roman"/>
          <w:sz w:val="24"/>
          <w:szCs w:val="24"/>
        </w:rPr>
        <w:t>5</w:t>
      </w:r>
      <w:r w:rsidRPr="00873A84">
        <w:rPr>
          <w:rFonts w:ascii="Times New Roman" w:hAnsi="Times New Roman" w:cs="Times New Roman"/>
          <w:sz w:val="24"/>
          <w:szCs w:val="24"/>
        </w:rPr>
        <w:t>. godinu, odnosno struktura prihoda i rashoda, te primitaka i izdataka Proračuna. Posebni dio proračuna sadrži rashode i izdatke proračunskih korisnika iz njihovih financijskih planova</w:t>
      </w:r>
      <w:r w:rsidR="003351F5">
        <w:rPr>
          <w:rFonts w:ascii="Times New Roman" w:hAnsi="Times New Roman" w:cs="Times New Roman"/>
          <w:sz w:val="24"/>
          <w:szCs w:val="24"/>
        </w:rPr>
        <w:t>,</w:t>
      </w:r>
      <w:r w:rsidRPr="00873A84">
        <w:rPr>
          <w:rFonts w:ascii="Times New Roman" w:hAnsi="Times New Roman" w:cs="Times New Roman"/>
          <w:sz w:val="24"/>
          <w:szCs w:val="24"/>
        </w:rPr>
        <w:t xml:space="preserve"> koji su raspoređeni po razdjelima čiji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873A84">
        <w:rPr>
          <w:rFonts w:ascii="Times New Roman" w:hAnsi="Times New Roman" w:cs="Times New Roman"/>
          <w:sz w:val="24"/>
          <w:szCs w:val="24"/>
        </w:rPr>
        <w:t xml:space="preserve"> nositelji</w:t>
      </w:r>
      <w:r>
        <w:rPr>
          <w:rFonts w:ascii="Times New Roman" w:hAnsi="Times New Roman" w:cs="Times New Roman"/>
          <w:sz w:val="24"/>
          <w:szCs w:val="24"/>
        </w:rPr>
        <w:t xml:space="preserve"> jedinstveni</w:t>
      </w:r>
      <w:r w:rsidRPr="00873A84">
        <w:rPr>
          <w:rFonts w:ascii="Times New Roman" w:hAnsi="Times New Roman" w:cs="Times New Roman"/>
          <w:sz w:val="24"/>
          <w:szCs w:val="24"/>
        </w:rPr>
        <w:t xml:space="preserve"> upravni odjeli, te glavama unutar pojedinih razdjela za krajnje korisnike.</w:t>
      </w:r>
    </w:p>
    <w:p w14:paraId="58688A23" w14:textId="77777777" w:rsidR="009E472C" w:rsidRPr="005703A2" w:rsidRDefault="005703A2" w:rsidP="009E47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5703A2">
        <w:rPr>
          <w:rFonts w:ascii="Times New Roman" w:hAnsi="Times New Roman" w:cs="Times New Roman"/>
          <w:b/>
          <w:bCs/>
          <w:sz w:val="24"/>
          <w:szCs w:val="24"/>
        </w:rPr>
        <w:t xml:space="preserve">PRORAČUN OPĆINE </w:t>
      </w:r>
      <w:r w:rsidR="00A63BCC">
        <w:rPr>
          <w:rFonts w:ascii="Times New Roman" w:hAnsi="Times New Roman" w:cs="Times New Roman"/>
          <w:b/>
          <w:bCs/>
          <w:sz w:val="24"/>
          <w:szCs w:val="24"/>
        </w:rPr>
        <w:t>DVOR</w:t>
      </w:r>
      <w:r w:rsidRPr="005703A2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840E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03A2">
        <w:rPr>
          <w:rFonts w:ascii="Times New Roman" w:hAnsi="Times New Roman" w:cs="Times New Roman"/>
          <w:b/>
          <w:bCs/>
          <w:sz w:val="24"/>
          <w:szCs w:val="24"/>
        </w:rPr>
        <w:t>.GODINU I PROJEKCIJE ZA 202</w:t>
      </w:r>
      <w:r w:rsidR="00840EC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03A2">
        <w:rPr>
          <w:rFonts w:ascii="Times New Roman" w:hAnsi="Times New Roman" w:cs="Times New Roman"/>
          <w:b/>
          <w:bCs/>
          <w:sz w:val="24"/>
          <w:szCs w:val="24"/>
        </w:rPr>
        <w:t>. I 202</w:t>
      </w:r>
      <w:r w:rsidR="00840E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703A2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3D883982" w14:textId="7ECB229C" w:rsidR="009E472C" w:rsidRDefault="004E401A" w:rsidP="004E40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Fonts w:ascii="Times New Roman" w:hAnsi="Times New Roman" w:cs="Times New Roman"/>
          <w:sz w:val="24"/>
          <w:szCs w:val="24"/>
        </w:rPr>
        <w:t xml:space="preserve">Prijedlog proračuna Općine </w:t>
      </w:r>
      <w:r w:rsidR="00A63BCC">
        <w:rPr>
          <w:rFonts w:ascii="Times New Roman" w:hAnsi="Times New Roman" w:cs="Times New Roman"/>
          <w:sz w:val="24"/>
          <w:szCs w:val="24"/>
        </w:rPr>
        <w:t>DVOR</w:t>
      </w:r>
      <w:r w:rsidRPr="003F640F">
        <w:rPr>
          <w:rFonts w:ascii="Times New Roman" w:hAnsi="Times New Roman" w:cs="Times New Roman"/>
          <w:sz w:val="24"/>
          <w:szCs w:val="24"/>
        </w:rPr>
        <w:t xml:space="preserve"> za 20</w:t>
      </w:r>
      <w:r w:rsidR="003F640F" w:rsidRPr="003F640F">
        <w:rPr>
          <w:rFonts w:ascii="Times New Roman" w:hAnsi="Times New Roman" w:cs="Times New Roman"/>
          <w:sz w:val="24"/>
          <w:szCs w:val="24"/>
        </w:rPr>
        <w:t>2</w:t>
      </w:r>
      <w:r w:rsidR="00C34FEB">
        <w:rPr>
          <w:rFonts w:ascii="Times New Roman" w:hAnsi="Times New Roman" w:cs="Times New Roman"/>
          <w:sz w:val="24"/>
          <w:szCs w:val="24"/>
        </w:rPr>
        <w:t>3</w:t>
      </w:r>
      <w:r w:rsidRPr="003F640F">
        <w:rPr>
          <w:rFonts w:ascii="Times New Roman" w:hAnsi="Times New Roman" w:cs="Times New Roman"/>
          <w:sz w:val="24"/>
          <w:szCs w:val="24"/>
        </w:rPr>
        <w:t>. godinu utvrđen je u iznosu od</w:t>
      </w:r>
      <w:r w:rsidR="00803B0C">
        <w:rPr>
          <w:rFonts w:ascii="Times New Roman" w:hAnsi="Times New Roman" w:cs="Times New Roman"/>
          <w:sz w:val="24"/>
          <w:szCs w:val="24"/>
        </w:rPr>
        <w:t>1.870.966,88 €</w:t>
      </w:r>
      <w:r w:rsidRPr="003F640F">
        <w:rPr>
          <w:rFonts w:ascii="Times New Roman" w:hAnsi="Times New Roman" w:cs="Times New Roman"/>
          <w:sz w:val="24"/>
          <w:szCs w:val="24"/>
        </w:rPr>
        <w:t xml:space="preserve">  Prijedlog proračuna za 202</w:t>
      </w:r>
      <w:r w:rsidR="00C34FEB">
        <w:rPr>
          <w:rFonts w:ascii="Times New Roman" w:hAnsi="Times New Roman" w:cs="Times New Roman"/>
          <w:sz w:val="24"/>
          <w:szCs w:val="24"/>
        </w:rPr>
        <w:t>4</w:t>
      </w:r>
      <w:r w:rsidRPr="003F640F">
        <w:rPr>
          <w:rFonts w:ascii="Times New Roman" w:hAnsi="Times New Roman" w:cs="Times New Roman"/>
          <w:sz w:val="24"/>
          <w:szCs w:val="24"/>
        </w:rPr>
        <w:t xml:space="preserve">. godinu projiciran je u iznosu od </w:t>
      </w:r>
      <w:r w:rsidR="00803B0C">
        <w:rPr>
          <w:rFonts w:ascii="Times New Roman" w:hAnsi="Times New Roman" w:cs="Times New Roman"/>
          <w:sz w:val="24"/>
          <w:szCs w:val="24"/>
        </w:rPr>
        <w:t>1.766.248,58 €</w:t>
      </w:r>
      <w:r w:rsidRPr="003F640F">
        <w:rPr>
          <w:rFonts w:ascii="Times New Roman" w:hAnsi="Times New Roman" w:cs="Times New Roman"/>
          <w:sz w:val="24"/>
          <w:szCs w:val="24"/>
        </w:rPr>
        <w:t>, a za 202</w:t>
      </w:r>
      <w:r w:rsidR="00C34FEB">
        <w:rPr>
          <w:rFonts w:ascii="Times New Roman" w:hAnsi="Times New Roman" w:cs="Times New Roman"/>
          <w:sz w:val="24"/>
          <w:szCs w:val="24"/>
        </w:rPr>
        <w:t>5</w:t>
      </w:r>
      <w:r w:rsidRPr="003F640F"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="00803B0C">
        <w:rPr>
          <w:rFonts w:ascii="Times New Roman" w:hAnsi="Times New Roman" w:cs="Times New Roman"/>
          <w:sz w:val="24"/>
          <w:szCs w:val="24"/>
        </w:rPr>
        <w:t>1.686.614,90</w:t>
      </w:r>
      <w:r w:rsidRPr="003F640F">
        <w:rPr>
          <w:rFonts w:ascii="Times New Roman" w:hAnsi="Times New Roman" w:cs="Times New Roman"/>
          <w:sz w:val="24"/>
          <w:szCs w:val="24"/>
        </w:rPr>
        <w:t xml:space="preserve"> </w:t>
      </w:r>
      <w:r w:rsidR="00803B0C">
        <w:rPr>
          <w:rFonts w:ascii="Times New Roman" w:hAnsi="Times New Roman" w:cs="Times New Roman"/>
          <w:sz w:val="24"/>
          <w:szCs w:val="24"/>
        </w:rPr>
        <w:t>€.</w:t>
      </w:r>
    </w:p>
    <w:p w14:paraId="2E130413" w14:textId="77777777" w:rsidR="00F5037B" w:rsidRPr="00F5037B" w:rsidRDefault="00F5037B" w:rsidP="004E401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37B">
        <w:rPr>
          <w:rFonts w:ascii="Times New Roman" w:hAnsi="Times New Roman" w:cs="Times New Roman"/>
          <w:b/>
          <w:bCs/>
          <w:sz w:val="24"/>
          <w:szCs w:val="24"/>
        </w:rPr>
        <w:t>1. Struktura proračuna za razdoblje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34F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037B">
        <w:rPr>
          <w:rFonts w:ascii="Times New Roman" w:hAnsi="Times New Roman" w:cs="Times New Roman"/>
          <w:b/>
          <w:bCs/>
          <w:sz w:val="24"/>
          <w:szCs w:val="24"/>
        </w:rPr>
        <w:t>.-202</w:t>
      </w:r>
      <w:r w:rsidR="00C34FE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5037B">
        <w:rPr>
          <w:rFonts w:ascii="Times New Roman" w:hAnsi="Times New Roman" w:cs="Times New Roman"/>
          <w:b/>
          <w:bCs/>
          <w:sz w:val="24"/>
          <w:szCs w:val="24"/>
        </w:rPr>
        <w:t>. godine prema osnovnoj klasifikaciji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1496"/>
        <w:gridCol w:w="1198"/>
        <w:gridCol w:w="2409"/>
        <w:gridCol w:w="709"/>
        <w:gridCol w:w="1496"/>
        <w:gridCol w:w="1496"/>
        <w:gridCol w:w="1496"/>
      </w:tblGrid>
      <w:tr w:rsidR="003F640F" w:rsidRPr="003F640F" w14:paraId="08F9DA3B" w14:textId="77777777" w:rsidTr="00574CCE">
        <w:trPr>
          <w:trHeight w:val="510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0A32" w14:textId="77777777" w:rsidR="003F640F" w:rsidRPr="003F640F" w:rsidRDefault="003F640F" w:rsidP="003F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E9F7" w14:textId="56025BE9" w:rsidR="003F640F" w:rsidRPr="003F640F" w:rsidRDefault="003F640F" w:rsidP="003F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PLAN </w:t>
            </w:r>
            <w:r w:rsidRPr="003F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</w:t>
            </w:r>
            <w:r w:rsidR="00811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A5B6" w14:textId="3FD8C858" w:rsidR="003F640F" w:rsidRPr="003F640F" w:rsidRDefault="00F5037B" w:rsidP="003F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PLAN </w:t>
            </w:r>
            <w:r w:rsidR="003F640F" w:rsidRPr="003F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</w:t>
            </w:r>
            <w:r w:rsidR="00811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100F" w14:textId="3580C79F" w:rsidR="003F640F" w:rsidRPr="003F640F" w:rsidRDefault="00F5037B" w:rsidP="003F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PLAN </w:t>
            </w:r>
            <w:r w:rsidR="003F640F" w:rsidRPr="003F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</w:t>
            </w:r>
            <w:r w:rsidR="00811B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3F640F" w:rsidRPr="003F640F" w14:paraId="360CBE52" w14:textId="77777777" w:rsidTr="00574CCE">
        <w:trPr>
          <w:trHeight w:val="25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C78C" w14:textId="77777777" w:rsidR="003F640F" w:rsidRPr="003F640F" w:rsidRDefault="003F640F" w:rsidP="003F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64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35F4" w14:textId="7C919E51" w:rsidR="003F640F" w:rsidRPr="003F640F" w:rsidRDefault="00FA1958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1.710.366,98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A14A" w14:textId="601696F5" w:rsidR="003F640F" w:rsidRPr="003F640F" w:rsidRDefault="00FA1958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1.765.186,81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70F3" w14:textId="60DE5262" w:rsidR="003F640F" w:rsidRPr="003F640F" w:rsidRDefault="00FA1958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1.685.553,12</w:t>
            </w:r>
          </w:p>
        </w:tc>
      </w:tr>
      <w:tr w:rsidR="003F640F" w:rsidRPr="003F640F" w14:paraId="663455F4" w14:textId="77777777" w:rsidTr="00574CCE">
        <w:trPr>
          <w:trHeight w:val="25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116E" w14:textId="77777777" w:rsidR="003F640F" w:rsidRPr="003F640F" w:rsidRDefault="003F640F" w:rsidP="003F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64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60EF" w14:textId="783204D8" w:rsidR="003F640F" w:rsidRPr="003F640F" w:rsidRDefault="00FA1958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7E99" w14:textId="50F3C5A5" w:rsidR="003F640F" w:rsidRPr="003F640F" w:rsidRDefault="00FA1958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A240" w14:textId="3D7539DF" w:rsidR="003F640F" w:rsidRPr="003F640F" w:rsidRDefault="00FA1958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1.061,78</w:t>
            </w:r>
          </w:p>
        </w:tc>
      </w:tr>
      <w:tr w:rsidR="003F640F" w:rsidRPr="003F640F" w14:paraId="47317EE1" w14:textId="77777777" w:rsidTr="00574CCE">
        <w:trPr>
          <w:trHeight w:val="25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25047" w14:textId="77777777" w:rsidR="003F640F" w:rsidRPr="00F5037B" w:rsidRDefault="003F640F" w:rsidP="003F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5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7715" w14:textId="2AD5B4F8" w:rsidR="003F640F" w:rsidRPr="00F5037B" w:rsidRDefault="00FA1958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1.711.428,76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1875" w14:textId="11FDF491" w:rsidR="003F640F" w:rsidRPr="00F5037B" w:rsidRDefault="00FA1958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1.766.248,59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5E57A" w14:textId="41A50129" w:rsidR="003F640F" w:rsidRPr="00F5037B" w:rsidRDefault="00FA1958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1.686.614,90</w:t>
            </w:r>
          </w:p>
        </w:tc>
      </w:tr>
      <w:tr w:rsidR="00F5037B" w:rsidRPr="003F640F" w14:paraId="7CFCD0EC" w14:textId="77777777" w:rsidTr="00574CCE">
        <w:trPr>
          <w:trHeight w:val="25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6237" w14:textId="77777777" w:rsidR="00F5037B" w:rsidRPr="00F5037B" w:rsidRDefault="00F5037B" w:rsidP="003F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DC812" w14:textId="77777777" w:rsidR="00F5037B" w:rsidRPr="00F5037B" w:rsidRDefault="00F5037B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508E" w14:textId="77777777" w:rsidR="00F5037B" w:rsidRPr="00F5037B" w:rsidRDefault="00F5037B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0E49" w14:textId="77777777" w:rsidR="00F5037B" w:rsidRPr="00F5037B" w:rsidRDefault="00F5037B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F640F" w:rsidRPr="003F640F" w14:paraId="60796386" w14:textId="77777777" w:rsidTr="00574CCE">
        <w:trPr>
          <w:trHeight w:val="25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D5BD" w14:textId="77777777" w:rsidR="003F640F" w:rsidRPr="003F640F" w:rsidRDefault="003F640F" w:rsidP="003F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64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6BA2" w14:textId="33A7635D" w:rsidR="00FA1958" w:rsidRPr="003F640F" w:rsidRDefault="00FA1958" w:rsidP="00FA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1.330.785,06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F3A0" w14:textId="63FB04CD" w:rsidR="003F640F" w:rsidRPr="003F640F" w:rsidRDefault="00FA1958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1.378.697,99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2FCB" w14:textId="52DA2D53" w:rsidR="003F640F" w:rsidRPr="003F640F" w:rsidRDefault="00FA1958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1.378.697,99</w:t>
            </w:r>
          </w:p>
        </w:tc>
      </w:tr>
      <w:tr w:rsidR="003F640F" w:rsidRPr="003F640F" w14:paraId="67A81F94" w14:textId="77777777" w:rsidTr="00574CCE">
        <w:trPr>
          <w:trHeight w:val="25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F15C" w14:textId="77777777" w:rsidR="003F640F" w:rsidRPr="003F640F" w:rsidRDefault="003F640F" w:rsidP="003F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64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1C8F" w14:textId="5BBCB838" w:rsidR="003F640F" w:rsidRPr="003F640F" w:rsidRDefault="00FA1958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500.364,98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4E06" w14:textId="19B98622" w:rsidR="003F640F" w:rsidRPr="003F640F" w:rsidRDefault="00FA1958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387.550,60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1F3B" w14:textId="61BF4BF5" w:rsidR="003F640F" w:rsidRPr="003F640F" w:rsidRDefault="00FA1958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307.916,91</w:t>
            </w:r>
          </w:p>
        </w:tc>
      </w:tr>
      <w:tr w:rsidR="00F5037B" w:rsidRPr="003F640F" w14:paraId="76546919" w14:textId="77777777" w:rsidTr="00574CCE">
        <w:trPr>
          <w:trHeight w:val="25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0686D" w14:textId="77777777" w:rsidR="00F5037B" w:rsidRPr="00F5037B" w:rsidRDefault="00F5037B" w:rsidP="003F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5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FA82" w14:textId="11E9996A" w:rsidR="00F5037B" w:rsidRPr="00F5037B" w:rsidRDefault="00FA1958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1.831.150,04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1300F" w14:textId="38087FC5" w:rsidR="00F5037B" w:rsidRPr="00F5037B" w:rsidRDefault="00FA1958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1.766.248,59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D7955" w14:textId="6269B7C6" w:rsidR="00F5037B" w:rsidRPr="00F5037B" w:rsidRDefault="00FA1958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1.686.614,90</w:t>
            </w:r>
          </w:p>
        </w:tc>
      </w:tr>
      <w:tr w:rsidR="00F5037B" w:rsidRPr="003F640F" w14:paraId="1FACDB49" w14:textId="77777777" w:rsidTr="00574CCE">
        <w:trPr>
          <w:trHeight w:val="25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DF44" w14:textId="77777777" w:rsidR="001A7C60" w:rsidRPr="001A7C60" w:rsidRDefault="001A7C60" w:rsidP="003F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</w:t>
            </w:r>
          </w:p>
          <w:p w14:paraId="7C91FEDA" w14:textId="77777777" w:rsidR="00574CCE" w:rsidRDefault="00574CCE" w:rsidP="003F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C4CBB97" w14:textId="1D2B549A" w:rsidR="00803B0C" w:rsidRPr="00A307E2" w:rsidRDefault="00803B0C" w:rsidP="00A30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IZDACI ZA FINANCIJSKU IMOVINU I OTPLATU ZAJMOVA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56F51" w14:textId="18E3EF30" w:rsidR="00F5037B" w:rsidRPr="00574CCE" w:rsidRDefault="00803B0C" w:rsidP="001A7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    39.816,84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39A3" w14:textId="1643DD5F" w:rsidR="00F5037B" w:rsidRDefault="00803B0C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EBF1A" w14:textId="77777777" w:rsidR="00803B0C" w:rsidRDefault="00803B0C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6A13AC2B" w14:textId="77777777" w:rsidR="00803B0C" w:rsidRDefault="00803B0C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4FD3D9A7" w14:textId="4FE94FBF" w:rsidR="00F5037B" w:rsidRDefault="00803B0C" w:rsidP="0080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       0,00</w:t>
            </w:r>
          </w:p>
          <w:p w14:paraId="0A4BF96F" w14:textId="472ACBA8" w:rsidR="00803B0C" w:rsidRDefault="00803B0C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4CCE" w:rsidRPr="003F640F" w14:paraId="3179C035" w14:textId="77777777" w:rsidTr="00574CCE">
        <w:trPr>
          <w:trHeight w:val="25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54FB1" w14:textId="77777777" w:rsidR="00574CCE" w:rsidRPr="00574CCE" w:rsidRDefault="00574CCE" w:rsidP="003F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74C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NETO FINANCIRANJE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F20C7" w14:textId="2B58411A" w:rsidR="00574CCE" w:rsidRDefault="00574CCE" w:rsidP="001A7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</w:t>
            </w:r>
            <w:r w:rsidR="00A30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94637" w14:textId="77777777" w:rsidR="00574CCE" w:rsidRDefault="00574CCE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7703E" w14:textId="77777777" w:rsidR="00574CCE" w:rsidRDefault="00574CCE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74CCE" w:rsidRPr="003F640F" w14:paraId="03DBA447" w14:textId="77777777" w:rsidTr="00574CCE">
        <w:trPr>
          <w:trHeight w:val="25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883F" w14:textId="77777777" w:rsidR="00574CCE" w:rsidRDefault="00574CCE" w:rsidP="003F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AE4F" w14:textId="77777777" w:rsidR="00574CCE" w:rsidRDefault="00574CCE" w:rsidP="001A7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DC2DF" w14:textId="77777777" w:rsidR="00574CCE" w:rsidRDefault="00574CCE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9CB5F" w14:textId="77777777" w:rsidR="00574CCE" w:rsidRDefault="00574CCE" w:rsidP="003F6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4CCE" w:rsidRPr="003F640F" w14:paraId="0018417B" w14:textId="77777777" w:rsidTr="00574CCE">
        <w:trPr>
          <w:trHeight w:val="25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9E414" w14:textId="77777777" w:rsidR="00574CCE" w:rsidRDefault="00574CCE" w:rsidP="00574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F9427" w14:textId="7C98E856" w:rsidR="00574CCE" w:rsidRDefault="00A307E2" w:rsidP="0057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-159.538,12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3818C" w14:textId="77777777" w:rsidR="00574CCE" w:rsidRDefault="00574CCE" w:rsidP="00574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DA890" w14:textId="77777777" w:rsidR="00574CCE" w:rsidRDefault="00574CCE" w:rsidP="00574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74CCE" w:rsidRPr="003F640F" w14:paraId="5A923198" w14:textId="77777777" w:rsidTr="00574CCE">
        <w:trPr>
          <w:gridAfter w:val="4"/>
          <w:wAfter w:w="5197" w:type="dxa"/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C2C2" w14:textId="77777777" w:rsidR="00574CCE" w:rsidRPr="003F640F" w:rsidRDefault="00574CCE" w:rsidP="00574C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535D" w14:textId="77777777" w:rsidR="00574CCE" w:rsidRPr="003F640F" w:rsidRDefault="00574CCE" w:rsidP="00574C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D175" w14:textId="77777777" w:rsidR="00574CCE" w:rsidRPr="003F640F" w:rsidRDefault="00574CCE" w:rsidP="00574C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74CCE" w:rsidRPr="003F640F" w14:paraId="284E479E" w14:textId="77777777" w:rsidTr="00574CCE">
        <w:trPr>
          <w:trHeight w:val="67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587FC" w14:textId="77777777" w:rsidR="00574CCE" w:rsidRPr="003F640F" w:rsidRDefault="00574CCE" w:rsidP="00574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64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DIO VIŠKA/MANJKA IZ PRETHODNIH GODINA KOJI ĆE SE    POKRITI/RASPOREDITI U PLANIRANOM RAZDOBLJU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9A5F" w14:textId="2773DB60" w:rsidR="00574CCE" w:rsidRPr="00353102" w:rsidRDefault="00A307E2" w:rsidP="00574C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159.538,12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27D2" w14:textId="77777777" w:rsidR="00574CCE" w:rsidRPr="003F640F" w:rsidRDefault="00574CCE" w:rsidP="00574C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64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800C" w14:textId="77777777" w:rsidR="00574CCE" w:rsidRPr="003F640F" w:rsidRDefault="00574CCE" w:rsidP="00574C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64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574CCE" w:rsidRPr="003F640F" w14:paraId="24362DDD" w14:textId="77777777" w:rsidTr="00574CCE">
        <w:trPr>
          <w:trHeight w:val="25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4A98" w14:textId="77777777" w:rsidR="00574CCE" w:rsidRPr="003F640F" w:rsidRDefault="00574CCE" w:rsidP="0057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8D06" w14:textId="77777777" w:rsidR="00574CCE" w:rsidRPr="003F640F" w:rsidRDefault="00574CCE" w:rsidP="0057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F6EC" w14:textId="77777777" w:rsidR="00574CCE" w:rsidRPr="003F640F" w:rsidRDefault="00574CCE" w:rsidP="0057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8A1C" w14:textId="77777777" w:rsidR="00574CCE" w:rsidRPr="003F640F" w:rsidRDefault="00574CCE" w:rsidP="0057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D8A3B05" w14:textId="77777777" w:rsidR="00F5037B" w:rsidRPr="00F5037B" w:rsidRDefault="00F5037B" w:rsidP="009E472C">
      <w:pPr>
        <w:jc w:val="both"/>
        <w:rPr>
          <w:rFonts w:ascii="Times New Roman" w:hAnsi="Times New Roman" w:cs="Times New Roman"/>
          <w:sz w:val="24"/>
          <w:szCs w:val="24"/>
        </w:rPr>
      </w:pPr>
      <w:r w:rsidRPr="00F5037B">
        <w:rPr>
          <w:rFonts w:ascii="Times New Roman" w:hAnsi="Times New Roman" w:cs="Times New Roman"/>
          <w:sz w:val="24"/>
          <w:szCs w:val="24"/>
        </w:rPr>
        <w:t>U nastavku se obrazlaže Opći i Posebni dio Proračuna za 202</w:t>
      </w:r>
      <w:r w:rsidR="00353102">
        <w:rPr>
          <w:rFonts w:ascii="Times New Roman" w:hAnsi="Times New Roman" w:cs="Times New Roman"/>
          <w:sz w:val="24"/>
          <w:szCs w:val="24"/>
        </w:rPr>
        <w:t>3</w:t>
      </w:r>
      <w:r w:rsidRPr="00F5037B">
        <w:rPr>
          <w:rFonts w:ascii="Times New Roman" w:hAnsi="Times New Roman" w:cs="Times New Roman"/>
          <w:sz w:val="24"/>
          <w:szCs w:val="24"/>
        </w:rPr>
        <w:t>. godinu.</w:t>
      </w:r>
    </w:p>
    <w:p w14:paraId="4B071073" w14:textId="77777777" w:rsidR="00F5037B" w:rsidRPr="00F5037B" w:rsidRDefault="00F5037B" w:rsidP="009E47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37B">
        <w:rPr>
          <w:rFonts w:ascii="Times New Roman" w:hAnsi="Times New Roman" w:cs="Times New Roman"/>
          <w:b/>
          <w:bCs/>
          <w:sz w:val="24"/>
          <w:szCs w:val="24"/>
        </w:rPr>
        <w:t xml:space="preserve"> 2. PRIHODI I PRIMICI PRORAČUNA </w:t>
      </w:r>
    </w:p>
    <w:p w14:paraId="690ED940" w14:textId="04E8526B" w:rsidR="003861D3" w:rsidRDefault="00F5037B" w:rsidP="00F503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1D3">
        <w:rPr>
          <w:rFonts w:ascii="Times New Roman" w:hAnsi="Times New Roman" w:cs="Times New Roman"/>
          <w:sz w:val="24"/>
          <w:szCs w:val="24"/>
        </w:rPr>
        <w:t xml:space="preserve">Prijedlogom Proračuna Općine </w:t>
      </w:r>
      <w:r w:rsidR="00A63BCC">
        <w:rPr>
          <w:rFonts w:ascii="Times New Roman" w:hAnsi="Times New Roman" w:cs="Times New Roman"/>
          <w:sz w:val="24"/>
          <w:szCs w:val="24"/>
        </w:rPr>
        <w:t>Dvor</w:t>
      </w:r>
      <w:r w:rsidRPr="003861D3">
        <w:rPr>
          <w:rFonts w:ascii="Times New Roman" w:hAnsi="Times New Roman" w:cs="Times New Roman"/>
          <w:sz w:val="24"/>
          <w:szCs w:val="24"/>
        </w:rPr>
        <w:t xml:space="preserve"> za 20</w:t>
      </w:r>
      <w:r w:rsidR="003861D3" w:rsidRPr="003861D3">
        <w:rPr>
          <w:rFonts w:ascii="Times New Roman" w:hAnsi="Times New Roman" w:cs="Times New Roman"/>
          <w:sz w:val="24"/>
          <w:szCs w:val="24"/>
        </w:rPr>
        <w:t>2</w:t>
      </w:r>
      <w:r w:rsidR="00353102">
        <w:rPr>
          <w:rFonts w:ascii="Times New Roman" w:hAnsi="Times New Roman" w:cs="Times New Roman"/>
          <w:sz w:val="24"/>
          <w:szCs w:val="24"/>
        </w:rPr>
        <w:t>3</w:t>
      </w:r>
      <w:r w:rsidRPr="003861D3">
        <w:rPr>
          <w:rFonts w:ascii="Times New Roman" w:hAnsi="Times New Roman" w:cs="Times New Roman"/>
          <w:sz w:val="24"/>
          <w:szCs w:val="24"/>
        </w:rPr>
        <w:t xml:space="preserve">. godinu ukupni prihodi i primici planirani su u iznosu od </w:t>
      </w:r>
      <w:r w:rsidR="00A307E2">
        <w:rPr>
          <w:rFonts w:ascii="Times New Roman" w:hAnsi="Times New Roman" w:cs="Times New Roman"/>
          <w:sz w:val="24"/>
          <w:szCs w:val="24"/>
        </w:rPr>
        <w:t>1.870.966,88 €</w:t>
      </w:r>
      <w:r w:rsidRPr="003861D3">
        <w:rPr>
          <w:rFonts w:ascii="Times New Roman" w:hAnsi="Times New Roman" w:cs="Times New Roman"/>
          <w:sz w:val="24"/>
          <w:szCs w:val="24"/>
        </w:rPr>
        <w:t xml:space="preserve">. Od ukupno planiranih prihoda, prihodi </w:t>
      </w:r>
      <w:r w:rsidR="003861D3" w:rsidRPr="003861D3">
        <w:rPr>
          <w:rFonts w:ascii="Times New Roman" w:hAnsi="Times New Roman" w:cs="Times New Roman"/>
          <w:sz w:val="24"/>
          <w:szCs w:val="24"/>
        </w:rPr>
        <w:t xml:space="preserve">Općine </w:t>
      </w:r>
      <w:r w:rsidR="00A63BCC">
        <w:rPr>
          <w:rFonts w:ascii="Times New Roman" w:hAnsi="Times New Roman" w:cs="Times New Roman"/>
          <w:sz w:val="24"/>
          <w:szCs w:val="24"/>
        </w:rPr>
        <w:t>Dvor</w:t>
      </w:r>
      <w:r w:rsidRPr="003861D3">
        <w:rPr>
          <w:rFonts w:ascii="Times New Roman" w:hAnsi="Times New Roman" w:cs="Times New Roman"/>
          <w:sz w:val="24"/>
          <w:szCs w:val="24"/>
        </w:rPr>
        <w:t xml:space="preserve"> iznose </w:t>
      </w:r>
      <w:r w:rsidR="00A77AE4">
        <w:rPr>
          <w:rFonts w:ascii="Times New Roman" w:hAnsi="Times New Roman" w:cs="Times New Roman"/>
          <w:sz w:val="24"/>
          <w:szCs w:val="24"/>
        </w:rPr>
        <w:t>1.845.582,33€</w:t>
      </w:r>
      <w:r w:rsidRPr="003861D3">
        <w:rPr>
          <w:rFonts w:ascii="Times New Roman" w:hAnsi="Times New Roman" w:cs="Times New Roman"/>
          <w:sz w:val="24"/>
          <w:szCs w:val="24"/>
        </w:rPr>
        <w:t xml:space="preserve"> ili </w:t>
      </w:r>
      <w:r w:rsidR="003861D3" w:rsidRPr="003861D3">
        <w:rPr>
          <w:rFonts w:ascii="Times New Roman" w:hAnsi="Times New Roman" w:cs="Times New Roman"/>
          <w:sz w:val="24"/>
          <w:szCs w:val="24"/>
        </w:rPr>
        <w:t>9</w:t>
      </w:r>
      <w:r w:rsidR="00AF6F6A">
        <w:rPr>
          <w:rFonts w:ascii="Times New Roman" w:hAnsi="Times New Roman" w:cs="Times New Roman"/>
          <w:sz w:val="24"/>
          <w:szCs w:val="24"/>
        </w:rPr>
        <w:t>8</w:t>
      </w:r>
      <w:r w:rsidR="003861D3" w:rsidRPr="003861D3">
        <w:rPr>
          <w:rFonts w:ascii="Times New Roman" w:hAnsi="Times New Roman" w:cs="Times New Roman"/>
          <w:sz w:val="24"/>
          <w:szCs w:val="24"/>
        </w:rPr>
        <w:t>,</w:t>
      </w:r>
      <w:r w:rsidR="00353102">
        <w:rPr>
          <w:rFonts w:ascii="Times New Roman" w:hAnsi="Times New Roman" w:cs="Times New Roman"/>
          <w:sz w:val="24"/>
          <w:szCs w:val="24"/>
        </w:rPr>
        <w:t>64</w:t>
      </w:r>
      <w:r w:rsidRPr="003861D3">
        <w:rPr>
          <w:rFonts w:ascii="Times New Roman" w:hAnsi="Times New Roman" w:cs="Times New Roman"/>
          <w:sz w:val="24"/>
          <w:szCs w:val="24"/>
        </w:rPr>
        <w:t xml:space="preserve">% sveukupno konsolidiranih prihoda proračuna </w:t>
      </w:r>
      <w:r w:rsidR="003861D3" w:rsidRPr="003861D3">
        <w:rPr>
          <w:rFonts w:ascii="Times New Roman" w:hAnsi="Times New Roman" w:cs="Times New Roman"/>
          <w:sz w:val="24"/>
          <w:szCs w:val="24"/>
        </w:rPr>
        <w:t>općine</w:t>
      </w:r>
      <w:r w:rsidRPr="003861D3">
        <w:rPr>
          <w:rFonts w:ascii="Times New Roman" w:hAnsi="Times New Roman" w:cs="Times New Roman"/>
          <w:sz w:val="24"/>
          <w:szCs w:val="24"/>
        </w:rPr>
        <w:t xml:space="preserve">, a planirani  prihodi proračunskih korisnika iznose </w:t>
      </w:r>
      <w:r w:rsidR="00A77AE4">
        <w:rPr>
          <w:rFonts w:ascii="Times New Roman" w:hAnsi="Times New Roman" w:cs="Times New Roman"/>
          <w:sz w:val="24"/>
          <w:szCs w:val="24"/>
        </w:rPr>
        <w:t>25.384,55</w:t>
      </w:r>
      <w:r w:rsidRPr="003861D3">
        <w:rPr>
          <w:rFonts w:ascii="Times New Roman" w:hAnsi="Times New Roman" w:cs="Times New Roman"/>
          <w:sz w:val="24"/>
          <w:szCs w:val="24"/>
        </w:rPr>
        <w:t xml:space="preserve"> </w:t>
      </w:r>
      <w:r w:rsidR="00A77AE4">
        <w:rPr>
          <w:rFonts w:ascii="Times New Roman" w:hAnsi="Times New Roman" w:cs="Times New Roman"/>
          <w:sz w:val="24"/>
          <w:szCs w:val="24"/>
        </w:rPr>
        <w:t>€</w:t>
      </w:r>
      <w:r w:rsidRPr="003861D3">
        <w:rPr>
          <w:rFonts w:ascii="Times New Roman" w:hAnsi="Times New Roman" w:cs="Times New Roman"/>
          <w:sz w:val="24"/>
          <w:szCs w:val="24"/>
        </w:rPr>
        <w:t xml:space="preserve"> ili </w:t>
      </w:r>
      <w:r w:rsidR="00AF6F6A">
        <w:rPr>
          <w:rFonts w:ascii="Times New Roman" w:hAnsi="Times New Roman" w:cs="Times New Roman"/>
          <w:sz w:val="24"/>
          <w:szCs w:val="24"/>
        </w:rPr>
        <w:t>1,</w:t>
      </w:r>
      <w:r w:rsidR="00353102">
        <w:rPr>
          <w:rFonts w:ascii="Times New Roman" w:hAnsi="Times New Roman" w:cs="Times New Roman"/>
          <w:sz w:val="24"/>
          <w:szCs w:val="24"/>
        </w:rPr>
        <w:t>36</w:t>
      </w:r>
      <w:r w:rsidRPr="003861D3">
        <w:rPr>
          <w:rFonts w:ascii="Times New Roman" w:hAnsi="Times New Roman" w:cs="Times New Roman"/>
          <w:sz w:val="24"/>
          <w:szCs w:val="24"/>
        </w:rPr>
        <w:t xml:space="preserve">% ukupnih prihoda. </w:t>
      </w:r>
    </w:p>
    <w:p w14:paraId="79B16568" w14:textId="77777777" w:rsidR="003861D3" w:rsidRDefault="00F5037B" w:rsidP="00AF7F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1D3">
        <w:rPr>
          <w:rFonts w:ascii="Times New Roman" w:hAnsi="Times New Roman" w:cs="Times New Roman"/>
          <w:sz w:val="24"/>
          <w:szCs w:val="24"/>
        </w:rPr>
        <w:t xml:space="preserve">Planirani prihodi </w:t>
      </w:r>
      <w:r w:rsidR="003861D3" w:rsidRPr="003861D3">
        <w:rPr>
          <w:rFonts w:ascii="Times New Roman" w:hAnsi="Times New Roman" w:cs="Times New Roman"/>
          <w:sz w:val="24"/>
          <w:szCs w:val="24"/>
        </w:rPr>
        <w:t>općine</w:t>
      </w:r>
      <w:r w:rsidRPr="003861D3">
        <w:rPr>
          <w:rFonts w:ascii="Times New Roman" w:hAnsi="Times New Roman" w:cs="Times New Roman"/>
          <w:sz w:val="24"/>
          <w:szCs w:val="24"/>
        </w:rPr>
        <w:t xml:space="preserve"> za 20</w:t>
      </w:r>
      <w:r w:rsidR="003861D3" w:rsidRPr="003861D3">
        <w:rPr>
          <w:rFonts w:ascii="Times New Roman" w:hAnsi="Times New Roman" w:cs="Times New Roman"/>
          <w:sz w:val="24"/>
          <w:szCs w:val="24"/>
        </w:rPr>
        <w:t>2</w:t>
      </w:r>
      <w:r w:rsidR="00353102">
        <w:rPr>
          <w:rFonts w:ascii="Times New Roman" w:hAnsi="Times New Roman" w:cs="Times New Roman"/>
          <w:sz w:val="24"/>
          <w:szCs w:val="24"/>
        </w:rPr>
        <w:t>3</w:t>
      </w:r>
      <w:r w:rsidRPr="003861D3">
        <w:rPr>
          <w:rFonts w:ascii="Times New Roman" w:hAnsi="Times New Roman" w:cs="Times New Roman"/>
          <w:sz w:val="24"/>
          <w:szCs w:val="24"/>
        </w:rPr>
        <w:t>.godinu su slijedeći:</w:t>
      </w:r>
    </w:p>
    <w:p w14:paraId="258C3BF9" w14:textId="77777777" w:rsidR="00D21CCD" w:rsidRPr="00D21CCD" w:rsidRDefault="00D21CCD" w:rsidP="00AF7F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tbl>
      <w:tblPr>
        <w:tblW w:w="10216" w:type="dxa"/>
        <w:tblLook w:val="04A0" w:firstRow="1" w:lastRow="0" w:firstColumn="1" w:lastColumn="0" w:noHBand="0" w:noVBand="1"/>
      </w:tblPr>
      <w:tblGrid>
        <w:gridCol w:w="8720"/>
        <w:gridCol w:w="1496"/>
      </w:tblGrid>
      <w:tr w:rsidR="00D21CCD" w:rsidRPr="00D21CCD" w14:paraId="164170B8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FE5763C" w14:textId="77777777" w:rsidR="00D21CCD" w:rsidRPr="00D21CCD" w:rsidRDefault="00D21CCD" w:rsidP="00AF7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0F586CE" w14:textId="1D133C10" w:rsidR="00D21CCD" w:rsidRPr="00D21CCD" w:rsidRDefault="00A77AE4" w:rsidP="00AF7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1.710.366,98</w:t>
            </w:r>
          </w:p>
        </w:tc>
      </w:tr>
      <w:tr w:rsidR="00D21CCD" w:rsidRPr="00D21CCD" w14:paraId="427ACA0A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FB43" w14:textId="77777777" w:rsidR="00D21CCD" w:rsidRPr="00D21CCD" w:rsidRDefault="00D21CCD" w:rsidP="00AF7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30ED" w14:textId="2C0B73E6" w:rsidR="00D21CCD" w:rsidRPr="00D21CCD" w:rsidRDefault="00A77AE4" w:rsidP="00AF7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173</w:t>
            </w:r>
            <w:r w:rsidR="003531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866,89</w:t>
            </w:r>
          </w:p>
        </w:tc>
      </w:tr>
      <w:tr w:rsidR="00D21CCD" w:rsidRPr="00D21CCD" w14:paraId="64C676D1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C895" w14:textId="77777777" w:rsidR="00D21CCD" w:rsidRPr="00D21CCD" w:rsidRDefault="00D21CCD" w:rsidP="00D2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EC00" w14:textId="6D41DC22" w:rsidR="00D21CCD" w:rsidRPr="00D21CCD" w:rsidRDefault="00A77AE4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148.516,83</w:t>
            </w:r>
          </w:p>
        </w:tc>
      </w:tr>
      <w:tr w:rsidR="00D21CCD" w:rsidRPr="00D21CCD" w14:paraId="31E96CDB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2052" w14:textId="77777777" w:rsidR="00D21CCD" w:rsidRPr="00D21CCD" w:rsidRDefault="00D21CCD" w:rsidP="00D2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AEF3" w14:textId="57D0136D" w:rsidR="00D21CCD" w:rsidRPr="00D21CCD" w:rsidRDefault="00A77AE4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22.562,88</w:t>
            </w:r>
          </w:p>
        </w:tc>
      </w:tr>
      <w:tr w:rsidR="00D21CCD" w:rsidRPr="00D21CCD" w14:paraId="7E1A9A4B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D976" w14:textId="77777777" w:rsidR="00D21CCD" w:rsidRPr="00D21CCD" w:rsidRDefault="00D21CCD" w:rsidP="00D2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5DC8" w14:textId="58FCFEE4" w:rsidR="00D21CCD" w:rsidRPr="00D21CCD" w:rsidRDefault="00A77AE4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2.787,18</w:t>
            </w:r>
          </w:p>
        </w:tc>
      </w:tr>
      <w:tr w:rsidR="00D21CCD" w:rsidRPr="00D21CCD" w14:paraId="7F1B3993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2AE0" w14:textId="77777777" w:rsidR="00D21CCD" w:rsidRPr="00D21CCD" w:rsidRDefault="00D21CCD" w:rsidP="00D2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C87E" w14:textId="7B1FE552" w:rsidR="00D21CCD" w:rsidRPr="00D21CCD" w:rsidRDefault="00A77AE4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1.098.143,19</w:t>
            </w:r>
          </w:p>
        </w:tc>
      </w:tr>
      <w:tr w:rsidR="00D21CCD" w:rsidRPr="00D21CCD" w14:paraId="73B6F3C8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B842" w14:textId="77777777" w:rsidR="00D21CCD" w:rsidRPr="00D21CCD" w:rsidRDefault="00D21CCD" w:rsidP="00D2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9F8F" w14:textId="58B18375" w:rsidR="00D21CCD" w:rsidRPr="00D21CCD" w:rsidRDefault="00847849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1.041.874,04</w:t>
            </w:r>
          </w:p>
        </w:tc>
      </w:tr>
      <w:tr w:rsidR="0062605B" w:rsidRPr="00D21CCD" w14:paraId="012AF32C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340C2" w14:textId="77777777" w:rsidR="0062605B" w:rsidRPr="00D21CCD" w:rsidRDefault="0062605B" w:rsidP="00D2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82B1F" w14:textId="5BFA68DD" w:rsidR="0062605B" w:rsidRDefault="00847849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8.794,20</w:t>
            </w:r>
          </w:p>
        </w:tc>
      </w:tr>
      <w:tr w:rsidR="00D21CCD" w:rsidRPr="00D21CCD" w14:paraId="3127A963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8738" w14:textId="77777777" w:rsidR="00D21CCD" w:rsidRPr="00D21CCD" w:rsidRDefault="00D21CCD" w:rsidP="00D2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5DF1" w14:textId="29E0F815" w:rsidR="00D21CCD" w:rsidRPr="00D21CCD" w:rsidRDefault="00847849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47.474,95</w:t>
            </w:r>
          </w:p>
        </w:tc>
      </w:tr>
      <w:tr w:rsidR="00D21CCD" w:rsidRPr="00D21CCD" w14:paraId="2829EF4E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15B4" w14:textId="77777777" w:rsidR="00D21CCD" w:rsidRPr="00D21CCD" w:rsidRDefault="00D21CCD" w:rsidP="00D2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72F6" w14:textId="15094F92" w:rsidR="00D21CCD" w:rsidRPr="00D21CCD" w:rsidRDefault="00847849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17.891,04</w:t>
            </w:r>
          </w:p>
        </w:tc>
      </w:tr>
      <w:tr w:rsidR="00397A89" w:rsidRPr="00D21CCD" w14:paraId="4F17A2AB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560E" w14:textId="77777777" w:rsidR="00397A89" w:rsidRPr="00D21CCD" w:rsidRDefault="00397A89" w:rsidP="00D2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 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454E" w14:textId="30A67F28" w:rsidR="00397A89" w:rsidRDefault="00847849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464,53</w:t>
            </w:r>
          </w:p>
        </w:tc>
      </w:tr>
      <w:tr w:rsidR="00D21CCD" w:rsidRPr="00D21CCD" w14:paraId="1EC4BFC2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216" w14:textId="77777777" w:rsidR="00D21CCD" w:rsidRPr="00D21CCD" w:rsidRDefault="00D21CCD" w:rsidP="00D2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F946" w14:textId="32141770" w:rsidR="00D21CCD" w:rsidRPr="00D21CCD" w:rsidRDefault="00F33C9F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17.426,51</w:t>
            </w:r>
          </w:p>
        </w:tc>
      </w:tr>
      <w:tr w:rsidR="00523E26" w:rsidRPr="00D21CCD" w14:paraId="21B1CF3D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D3A55" w14:textId="77777777" w:rsidR="00523E26" w:rsidRPr="00D21CCD" w:rsidRDefault="00523E26" w:rsidP="00D2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3CC50" w14:textId="77777777" w:rsidR="00523E26" w:rsidRDefault="00523E26" w:rsidP="00F74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21CCD" w:rsidRPr="00D21CCD" w14:paraId="6AEB5198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1726" w14:textId="77777777" w:rsidR="00D21CCD" w:rsidRPr="00D21CCD" w:rsidRDefault="00D21CCD" w:rsidP="00D2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EB4A" w14:textId="15A6C395" w:rsidR="00D21CCD" w:rsidRPr="00D21CCD" w:rsidRDefault="00F33C9F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418.143,21</w:t>
            </w:r>
          </w:p>
        </w:tc>
      </w:tr>
      <w:tr w:rsidR="00D21CCD" w:rsidRPr="00D21CCD" w14:paraId="77000726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1AA5" w14:textId="77777777" w:rsidR="00D21CCD" w:rsidRPr="00D21CCD" w:rsidRDefault="00D21CCD" w:rsidP="00D2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1178" w14:textId="03CF69F1" w:rsidR="00D21CCD" w:rsidRPr="00D21CCD" w:rsidRDefault="00F33C9F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1.592,67</w:t>
            </w:r>
          </w:p>
        </w:tc>
      </w:tr>
      <w:tr w:rsidR="00D21CCD" w:rsidRPr="00D21CCD" w14:paraId="305B9C6A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45D9" w14:textId="77777777" w:rsidR="00D21CCD" w:rsidRPr="00D21CCD" w:rsidRDefault="00D21CCD" w:rsidP="00D2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7836" w14:textId="7BB4EA73" w:rsidR="00D21CCD" w:rsidRPr="00D21CCD" w:rsidRDefault="00F33C9F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281.173,27</w:t>
            </w:r>
          </w:p>
        </w:tc>
      </w:tr>
      <w:tr w:rsidR="00D21CCD" w:rsidRPr="00D21CCD" w14:paraId="5534962F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5E75" w14:textId="77777777" w:rsidR="00D21CCD" w:rsidRPr="00D21CCD" w:rsidRDefault="00D21CCD" w:rsidP="00D2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Komunalni doprinosi i 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8113" w14:textId="6D9A85BC" w:rsidR="00D21CCD" w:rsidRPr="00D21CCD" w:rsidRDefault="00F33C9F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135.377,27</w:t>
            </w:r>
          </w:p>
        </w:tc>
      </w:tr>
      <w:tr w:rsidR="00947E84" w:rsidRPr="00D21CCD" w14:paraId="0DBD6BC1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27292" w14:textId="77777777" w:rsidR="00947E84" w:rsidRPr="00D21CCD" w:rsidRDefault="00947E84" w:rsidP="00D2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Prihodi od </w:t>
            </w:r>
            <w:r w:rsidR="00E56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prodaje proizvoda i robe te pruženih usluga i prihodi od donacija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241A7" w14:textId="1120B4C1" w:rsidR="00947E84" w:rsidRPr="00D21CCD" w:rsidRDefault="00F33C9F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995,42</w:t>
            </w:r>
          </w:p>
        </w:tc>
      </w:tr>
      <w:tr w:rsidR="00947E84" w:rsidRPr="00D21CCD" w14:paraId="216DFF16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748D" w14:textId="77777777" w:rsidR="00947E84" w:rsidRPr="00E56F80" w:rsidRDefault="00E56F80" w:rsidP="00D2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F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 od prodaje proizvoda i robe te pruženih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E56F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sluga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309DC" w14:textId="7FEE3D3C" w:rsidR="00947E84" w:rsidRPr="00947E84" w:rsidRDefault="00F33C9F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995,42</w:t>
            </w:r>
          </w:p>
        </w:tc>
      </w:tr>
      <w:tr w:rsidR="00D21CCD" w:rsidRPr="00D21CCD" w14:paraId="53A20555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B162" w14:textId="77777777" w:rsidR="00D21CCD" w:rsidRPr="00D21CCD" w:rsidRDefault="00D21CCD" w:rsidP="00D2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AD89" w14:textId="7E4C9C87" w:rsidR="00D21CCD" w:rsidRPr="00D21CCD" w:rsidRDefault="00F33C9F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D21CCD" w:rsidRPr="00D21CCD" w14:paraId="2BC3807B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804C" w14:textId="77777777" w:rsidR="00D21CCD" w:rsidRPr="00D21CCD" w:rsidRDefault="00D21CCD" w:rsidP="00D2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A519" w14:textId="12C84071" w:rsidR="00D21CCD" w:rsidRPr="00D21CCD" w:rsidRDefault="00F33C9F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1.327,23</w:t>
            </w:r>
          </w:p>
        </w:tc>
      </w:tr>
      <w:tr w:rsidR="00D21CCD" w:rsidRPr="00D21CCD" w14:paraId="12B3D3AA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624C4B5" w14:textId="77777777" w:rsidR="00D21CCD" w:rsidRPr="00D21CCD" w:rsidRDefault="00D21CCD" w:rsidP="00D2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B9AF4F2" w14:textId="6B31EB90" w:rsidR="00D21CCD" w:rsidRPr="00D21CCD" w:rsidRDefault="007E4051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1.061,78</w:t>
            </w:r>
          </w:p>
        </w:tc>
      </w:tr>
      <w:tr w:rsidR="00D21CCD" w:rsidRPr="00D21CCD" w14:paraId="7560ACD4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DBE1" w14:textId="77777777" w:rsidR="00D21CCD" w:rsidRPr="00D21CCD" w:rsidRDefault="00D21CCD" w:rsidP="00D2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0648" w14:textId="109E43C6" w:rsidR="00D21CCD" w:rsidRPr="00D21CCD" w:rsidRDefault="007E4051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1.061,78</w:t>
            </w:r>
          </w:p>
        </w:tc>
      </w:tr>
      <w:tr w:rsidR="00D21CCD" w:rsidRPr="00D21CCD" w14:paraId="6DE7812C" w14:textId="77777777" w:rsidTr="00947E84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3576" w14:textId="77777777" w:rsidR="00D21CCD" w:rsidRPr="00D21CCD" w:rsidRDefault="00D21CCD" w:rsidP="00D2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21C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prodaje građevinskih objekata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9E65" w14:textId="69D743A4" w:rsidR="00D21CCD" w:rsidRPr="00D21CCD" w:rsidRDefault="007E4051" w:rsidP="00D2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1.061,78</w:t>
            </w:r>
          </w:p>
        </w:tc>
      </w:tr>
    </w:tbl>
    <w:p w14:paraId="6553782F" w14:textId="77777777" w:rsidR="003861D3" w:rsidRDefault="003861D3" w:rsidP="003861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67F03" w14:textId="77777777" w:rsidR="00D21CCD" w:rsidRDefault="00D21CCD" w:rsidP="003861D3">
      <w:pPr>
        <w:jc w:val="both"/>
      </w:pPr>
      <w:r w:rsidRPr="00D21CCD">
        <w:rPr>
          <w:rFonts w:ascii="Times New Roman" w:hAnsi="Times New Roman" w:cs="Times New Roman"/>
          <w:b/>
          <w:bCs/>
          <w:sz w:val="24"/>
          <w:szCs w:val="24"/>
        </w:rPr>
        <w:t>2.1.PRIHODI POSLOVANJA</w:t>
      </w:r>
      <w:r>
        <w:t xml:space="preserve"> </w:t>
      </w:r>
    </w:p>
    <w:p w14:paraId="1BB36B10" w14:textId="6B440A38" w:rsidR="00747D0C" w:rsidRPr="007673E3" w:rsidRDefault="00D21CCD" w:rsidP="00747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3E3">
        <w:rPr>
          <w:rFonts w:ascii="Times New Roman" w:hAnsi="Times New Roman" w:cs="Times New Roman"/>
          <w:sz w:val="24"/>
          <w:szCs w:val="24"/>
        </w:rPr>
        <w:t>Ukupni prihodi poslovanja u 202</w:t>
      </w:r>
      <w:r w:rsidR="00B57B05">
        <w:rPr>
          <w:rFonts w:ascii="Times New Roman" w:hAnsi="Times New Roman" w:cs="Times New Roman"/>
          <w:sz w:val="24"/>
          <w:szCs w:val="24"/>
        </w:rPr>
        <w:t>3</w:t>
      </w:r>
      <w:r w:rsidRPr="007673E3">
        <w:rPr>
          <w:rFonts w:ascii="Times New Roman" w:hAnsi="Times New Roman" w:cs="Times New Roman"/>
          <w:sz w:val="24"/>
          <w:szCs w:val="24"/>
        </w:rPr>
        <w:t xml:space="preserve">. godini planiraju se u iznosu od </w:t>
      </w:r>
      <w:r w:rsidR="007E4051">
        <w:rPr>
          <w:rFonts w:ascii="Times New Roman" w:hAnsi="Times New Roman" w:cs="Times New Roman"/>
          <w:sz w:val="24"/>
          <w:szCs w:val="24"/>
        </w:rPr>
        <w:t>1.710.366,98</w:t>
      </w:r>
      <w:r w:rsidR="00F737B5">
        <w:rPr>
          <w:rFonts w:ascii="Times New Roman" w:hAnsi="Times New Roman" w:cs="Times New Roman"/>
          <w:sz w:val="24"/>
          <w:szCs w:val="24"/>
        </w:rPr>
        <w:t xml:space="preserve"> </w:t>
      </w:r>
      <w:r w:rsidR="007E4051">
        <w:rPr>
          <w:rFonts w:ascii="Times New Roman" w:hAnsi="Times New Roman" w:cs="Times New Roman"/>
          <w:sz w:val="24"/>
          <w:szCs w:val="24"/>
        </w:rPr>
        <w:t>€</w:t>
      </w:r>
      <w:r w:rsidRPr="007673E3">
        <w:rPr>
          <w:rFonts w:ascii="Times New Roman" w:hAnsi="Times New Roman" w:cs="Times New Roman"/>
          <w:sz w:val="24"/>
          <w:szCs w:val="24"/>
        </w:rPr>
        <w:t xml:space="preserve">, a u strukturi ukupnih prihoda čine </w:t>
      </w:r>
      <w:r w:rsidR="00B57B05">
        <w:rPr>
          <w:rFonts w:ascii="Times New Roman" w:hAnsi="Times New Roman" w:cs="Times New Roman"/>
          <w:sz w:val="24"/>
          <w:szCs w:val="24"/>
        </w:rPr>
        <w:t xml:space="preserve">91,42 </w:t>
      </w:r>
      <w:r w:rsidRPr="007673E3">
        <w:rPr>
          <w:rFonts w:ascii="Times New Roman" w:hAnsi="Times New Roman" w:cs="Times New Roman"/>
          <w:sz w:val="24"/>
          <w:szCs w:val="24"/>
        </w:rPr>
        <w:t xml:space="preserve">%. U strukturi prihoda poslovanja  porezni prihodi imaju udio u visini od </w:t>
      </w:r>
      <w:r w:rsidR="00B57B05">
        <w:rPr>
          <w:rFonts w:ascii="Times New Roman" w:hAnsi="Times New Roman" w:cs="Times New Roman"/>
          <w:sz w:val="24"/>
          <w:szCs w:val="24"/>
        </w:rPr>
        <w:t xml:space="preserve">10,17 </w:t>
      </w:r>
      <w:r w:rsidRPr="007673E3">
        <w:rPr>
          <w:rFonts w:ascii="Times New Roman" w:hAnsi="Times New Roman" w:cs="Times New Roman"/>
          <w:sz w:val="24"/>
          <w:szCs w:val="24"/>
        </w:rPr>
        <w:t xml:space="preserve">%, pomoći iz inozemstva i od subjekata unutar općeg proračuna u visini od </w:t>
      </w:r>
      <w:r w:rsidR="00B57B05">
        <w:rPr>
          <w:rFonts w:ascii="Times New Roman" w:hAnsi="Times New Roman" w:cs="Times New Roman"/>
          <w:sz w:val="24"/>
          <w:szCs w:val="24"/>
        </w:rPr>
        <w:t xml:space="preserve">66,98 </w:t>
      </w:r>
      <w:r w:rsidRPr="007673E3">
        <w:rPr>
          <w:rFonts w:ascii="Times New Roman" w:hAnsi="Times New Roman" w:cs="Times New Roman"/>
          <w:sz w:val="24"/>
          <w:szCs w:val="24"/>
        </w:rPr>
        <w:t xml:space="preserve">%, prihodi od imovine u visini od </w:t>
      </w:r>
      <w:r w:rsidR="00B57B05">
        <w:rPr>
          <w:rFonts w:ascii="Times New Roman" w:hAnsi="Times New Roman" w:cs="Times New Roman"/>
          <w:sz w:val="24"/>
          <w:szCs w:val="24"/>
        </w:rPr>
        <w:t xml:space="preserve">1,05 </w:t>
      </w:r>
      <w:r w:rsidRPr="007673E3">
        <w:rPr>
          <w:rFonts w:ascii="Times New Roman" w:hAnsi="Times New Roman" w:cs="Times New Roman"/>
          <w:sz w:val="24"/>
          <w:szCs w:val="24"/>
        </w:rPr>
        <w:t xml:space="preserve">%, prihodi od upravnih i administrativnih pristojbi, pristojbi po posebnim propisima i naknada u ukupnim prihodima </w:t>
      </w:r>
      <w:r w:rsidRPr="007673E3">
        <w:rPr>
          <w:rFonts w:ascii="Times New Roman" w:hAnsi="Times New Roman" w:cs="Times New Roman"/>
          <w:sz w:val="24"/>
          <w:szCs w:val="24"/>
        </w:rPr>
        <w:lastRenderedPageBreak/>
        <w:t xml:space="preserve">poslovanja sudjeluju </w:t>
      </w:r>
      <w:r w:rsidR="00B57B05">
        <w:rPr>
          <w:rFonts w:ascii="Times New Roman" w:hAnsi="Times New Roman" w:cs="Times New Roman"/>
          <w:sz w:val="24"/>
          <w:szCs w:val="24"/>
        </w:rPr>
        <w:t xml:space="preserve">24,45 </w:t>
      </w:r>
      <w:r w:rsidRPr="007673E3">
        <w:rPr>
          <w:rFonts w:ascii="Times New Roman" w:hAnsi="Times New Roman" w:cs="Times New Roman"/>
          <w:sz w:val="24"/>
          <w:szCs w:val="24"/>
        </w:rPr>
        <w:t>%</w:t>
      </w:r>
      <w:r w:rsidR="00947E84">
        <w:rPr>
          <w:rFonts w:ascii="Times New Roman" w:hAnsi="Times New Roman" w:cs="Times New Roman"/>
          <w:sz w:val="24"/>
          <w:szCs w:val="24"/>
        </w:rPr>
        <w:t xml:space="preserve">, prihodi od </w:t>
      </w:r>
      <w:r w:rsidR="008451C5">
        <w:rPr>
          <w:rFonts w:ascii="Times New Roman" w:hAnsi="Times New Roman" w:cs="Times New Roman"/>
          <w:sz w:val="24"/>
          <w:szCs w:val="24"/>
        </w:rPr>
        <w:t>pruženih usluga</w:t>
      </w:r>
      <w:r w:rsidR="00947E84">
        <w:rPr>
          <w:rFonts w:ascii="Times New Roman" w:hAnsi="Times New Roman" w:cs="Times New Roman"/>
          <w:sz w:val="24"/>
          <w:szCs w:val="24"/>
        </w:rPr>
        <w:t xml:space="preserve"> u visini od </w:t>
      </w:r>
      <w:r w:rsidR="008451C5">
        <w:rPr>
          <w:rFonts w:ascii="Times New Roman" w:hAnsi="Times New Roman" w:cs="Times New Roman"/>
          <w:sz w:val="24"/>
          <w:szCs w:val="24"/>
        </w:rPr>
        <w:t>0</w:t>
      </w:r>
      <w:r w:rsidR="00947E84">
        <w:rPr>
          <w:rFonts w:ascii="Times New Roman" w:hAnsi="Times New Roman" w:cs="Times New Roman"/>
          <w:sz w:val="24"/>
          <w:szCs w:val="24"/>
        </w:rPr>
        <w:t>,</w:t>
      </w:r>
      <w:r w:rsidR="008451C5">
        <w:rPr>
          <w:rFonts w:ascii="Times New Roman" w:hAnsi="Times New Roman" w:cs="Times New Roman"/>
          <w:sz w:val="24"/>
          <w:szCs w:val="24"/>
        </w:rPr>
        <w:t>0</w:t>
      </w:r>
      <w:r w:rsidR="00B57B05">
        <w:rPr>
          <w:rFonts w:ascii="Times New Roman" w:hAnsi="Times New Roman" w:cs="Times New Roman"/>
          <w:sz w:val="24"/>
          <w:szCs w:val="24"/>
        </w:rPr>
        <w:t xml:space="preserve">6, te </w:t>
      </w:r>
      <w:r w:rsidRPr="007673E3">
        <w:rPr>
          <w:rFonts w:ascii="Times New Roman" w:hAnsi="Times New Roman" w:cs="Times New Roman"/>
          <w:sz w:val="24"/>
          <w:szCs w:val="24"/>
        </w:rPr>
        <w:t xml:space="preserve"> prihodi od kazni</w:t>
      </w:r>
      <w:r w:rsidR="007673E3" w:rsidRPr="007673E3">
        <w:rPr>
          <w:rFonts w:ascii="Times New Roman" w:hAnsi="Times New Roman" w:cs="Times New Roman"/>
          <w:sz w:val="24"/>
          <w:szCs w:val="24"/>
        </w:rPr>
        <w:t xml:space="preserve"> </w:t>
      </w:r>
      <w:r w:rsidRPr="007673E3">
        <w:rPr>
          <w:rFonts w:ascii="Times New Roman" w:hAnsi="Times New Roman" w:cs="Times New Roman"/>
          <w:sz w:val="24"/>
          <w:szCs w:val="24"/>
        </w:rPr>
        <w:t>,upravnih mjera i ostali prihodi  0,</w:t>
      </w:r>
      <w:r w:rsidR="007673E3" w:rsidRPr="007673E3">
        <w:rPr>
          <w:rFonts w:ascii="Times New Roman" w:hAnsi="Times New Roman" w:cs="Times New Roman"/>
          <w:sz w:val="24"/>
          <w:szCs w:val="24"/>
        </w:rPr>
        <w:t>0</w:t>
      </w:r>
      <w:r w:rsidR="00B57B05">
        <w:rPr>
          <w:rFonts w:ascii="Times New Roman" w:hAnsi="Times New Roman" w:cs="Times New Roman"/>
          <w:sz w:val="24"/>
          <w:szCs w:val="24"/>
        </w:rPr>
        <w:t>8</w:t>
      </w:r>
      <w:r w:rsidRPr="007673E3">
        <w:rPr>
          <w:rFonts w:ascii="Times New Roman" w:hAnsi="Times New Roman" w:cs="Times New Roman"/>
          <w:sz w:val="24"/>
          <w:szCs w:val="24"/>
        </w:rPr>
        <w:t>%.</w:t>
      </w:r>
    </w:p>
    <w:p w14:paraId="4D1EF78A" w14:textId="77777777" w:rsidR="007673E3" w:rsidRPr="007673E3" w:rsidRDefault="007673E3" w:rsidP="009E47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3E3">
        <w:rPr>
          <w:rFonts w:ascii="Times New Roman" w:hAnsi="Times New Roman" w:cs="Times New Roman"/>
          <w:b/>
          <w:bCs/>
          <w:sz w:val="24"/>
          <w:szCs w:val="24"/>
        </w:rPr>
        <w:t>2.2. PRIHODI OD PRODAJE NEFINANCIJSKE IMOVINE</w:t>
      </w:r>
    </w:p>
    <w:p w14:paraId="380B41D9" w14:textId="6B1E1036" w:rsidR="00747D0C" w:rsidRPr="00747D0C" w:rsidRDefault="007673E3" w:rsidP="00747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0C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7E4051">
        <w:rPr>
          <w:rFonts w:ascii="Times New Roman" w:hAnsi="Times New Roman" w:cs="Times New Roman"/>
          <w:sz w:val="24"/>
          <w:szCs w:val="24"/>
        </w:rPr>
        <w:t>1.061,78 €</w:t>
      </w:r>
      <w:r w:rsidR="00747D0C" w:rsidRPr="00747D0C">
        <w:rPr>
          <w:rFonts w:ascii="Times New Roman" w:hAnsi="Times New Roman" w:cs="Times New Roman"/>
          <w:sz w:val="24"/>
          <w:szCs w:val="24"/>
        </w:rPr>
        <w:t>, te se odnose na prihode od  prodaje stanova na kojima postoji stanarsko pravo uz obročnu otplatu</w:t>
      </w:r>
      <w:r w:rsidR="008451C5">
        <w:rPr>
          <w:rFonts w:ascii="Times New Roman" w:hAnsi="Times New Roman" w:cs="Times New Roman"/>
          <w:sz w:val="24"/>
          <w:szCs w:val="24"/>
        </w:rPr>
        <w:t>.</w:t>
      </w:r>
    </w:p>
    <w:p w14:paraId="22E9FE12" w14:textId="77777777" w:rsidR="00747D0C" w:rsidRPr="00747D0C" w:rsidRDefault="00747D0C" w:rsidP="009E47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D0C">
        <w:rPr>
          <w:rFonts w:ascii="Times New Roman" w:hAnsi="Times New Roman" w:cs="Times New Roman"/>
          <w:b/>
          <w:bCs/>
          <w:sz w:val="24"/>
          <w:szCs w:val="24"/>
        </w:rPr>
        <w:t xml:space="preserve">2.3. PRENESENI VIŠAK PRIHODA </w:t>
      </w:r>
    </w:p>
    <w:p w14:paraId="05C4C306" w14:textId="54A3D089" w:rsidR="009E472C" w:rsidRDefault="00747D0C" w:rsidP="00747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0C">
        <w:rPr>
          <w:rFonts w:ascii="Times New Roman" w:hAnsi="Times New Roman" w:cs="Times New Roman"/>
          <w:sz w:val="24"/>
          <w:szCs w:val="24"/>
        </w:rPr>
        <w:t xml:space="preserve">U Prijedlogu Proračuna Općine </w:t>
      </w:r>
      <w:r w:rsidR="008451C5">
        <w:rPr>
          <w:rFonts w:ascii="Times New Roman" w:hAnsi="Times New Roman" w:cs="Times New Roman"/>
          <w:sz w:val="24"/>
          <w:szCs w:val="24"/>
        </w:rPr>
        <w:t>Dvor</w:t>
      </w:r>
      <w:r w:rsidRPr="00747D0C">
        <w:rPr>
          <w:rFonts w:ascii="Times New Roman" w:hAnsi="Times New Roman" w:cs="Times New Roman"/>
          <w:sz w:val="24"/>
          <w:szCs w:val="24"/>
        </w:rPr>
        <w:t xml:space="preserve"> za 202</w:t>
      </w:r>
      <w:r w:rsidR="00C34FEB">
        <w:rPr>
          <w:rFonts w:ascii="Times New Roman" w:hAnsi="Times New Roman" w:cs="Times New Roman"/>
          <w:sz w:val="24"/>
          <w:szCs w:val="24"/>
        </w:rPr>
        <w:t>3</w:t>
      </w:r>
      <w:r w:rsidRPr="00747D0C">
        <w:rPr>
          <w:rFonts w:ascii="Times New Roman" w:hAnsi="Times New Roman" w:cs="Times New Roman"/>
          <w:sz w:val="24"/>
          <w:szCs w:val="24"/>
        </w:rPr>
        <w:t>. godinu planiran je preneseni višak prihoda iz 20</w:t>
      </w:r>
      <w:r w:rsidR="00947E84">
        <w:rPr>
          <w:rFonts w:ascii="Times New Roman" w:hAnsi="Times New Roman" w:cs="Times New Roman"/>
          <w:sz w:val="24"/>
          <w:szCs w:val="24"/>
        </w:rPr>
        <w:t>2</w:t>
      </w:r>
      <w:r w:rsidR="00C34FEB">
        <w:rPr>
          <w:rFonts w:ascii="Times New Roman" w:hAnsi="Times New Roman" w:cs="Times New Roman"/>
          <w:sz w:val="24"/>
          <w:szCs w:val="24"/>
        </w:rPr>
        <w:t>2</w:t>
      </w:r>
      <w:r w:rsidRPr="00747D0C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7E4051">
        <w:rPr>
          <w:rFonts w:ascii="Times New Roman" w:hAnsi="Times New Roman" w:cs="Times New Roman"/>
          <w:sz w:val="24"/>
          <w:szCs w:val="24"/>
        </w:rPr>
        <w:t>159.538,12 €</w:t>
      </w:r>
      <w:r w:rsidRPr="00747D0C">
        <w:rPr>
          <w:rFonts w:ascii="Times New Roman" w:hAnsi="Times New Roman" w:cs="Times New Roman"/>
          <w:sz w:val="24"/>
          <w:szCs w:val="24"/>
        </w:rPr>
        <w:t>.</w:t>
      </w:r>
    </w:p>
    <w:p w14:paraId="687A5F6B" w14:textId="77777777" w:rsidR="00D47721" w:rsidRDefault="00D47721" w:rsidP="00747D0C">
      <w:pPr>
        <w:ind w:firstLine="708"/>
        <w:jc w:val="both"/>
      </w:pPr>
      <w:r w:rsidRPr="00D47721">
        <w:rPr>
          <w:rFonts w:ascii="Times New Roman" w:hAnsi="Times New Roman" w:cs="Times New Roman"/>
          <w:b/>
          <w:bCs/>
          <w:sz w:val="24"/>
          <w:szCs w:val="24"/>
        </w:rPr>
        <w:t>3. RASHODI I IZDACI PRORAČUNA</w:t>
      </w:r>
      <w:r>
        <w:t xml:space="preserve"> </w:t>
      </w:r>
    </w:p>
    <w:p w14:paraId="39AB8C73" w14:textId="51A3BD41" w:rsidR="00850C0E" w:rsidRDefault="00D47721" w:rsidP="00850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721">
        <w:rPr>
          <w:rFonts w:ascii="Times New Roman" w:hAnsi="Times New Roman" w:cs="Times New Roman"/>
          <w:sz w:val="24"/>
          <w:szCs w:val="24"/>
        </w:rPr>
        <w:t xml:space="preserve">Ukupno planirani rashodi i izdaci koji se predlažu u Prijedlogu Proračuna Općine </w:t>
      </w:r>
      <w:r w:rsidR="00192F6A">
        <w:rPr>
          <w:rFonts w:ascii="Times New Roman" w:hAnsi="Times New Roman" w:cs="Times New Roman"/>
          <w:sz w:val="24"/>
          <w:szCs w:val="24"/>
        </w:rPr>
        <w:t>Dvor</w:t>
      </w:r>
      <w:r w:rsidRPr="00D47721">
        <w:rPr>
          <w:rFonts w:ascii="Times New Roman" w:hAnsi="Times New Roman" w:cs="Times New Roman"/>
          <w:sz w:val="24"/>
          <w:szCs w:val="24"/>
        </w:rPr>
        <w:t xml:space="preserve"> za 202</w:t>
      </w:r>
      <w:r w:rsidR="00947E84">
        <w:rPr>
          <w:rFonts w:ascii="Times New Roman" w:hAnsi="Times New Roman" w:cs="Times New Roman"/>
          <w:sz w:val="24"/>
          <w:szCs w:val="24"/>
        </w:rPr>
        <w:t>1</w:t>
      </w:r>
      <w:r w:rsidRPr="00D47721"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7E4051">
        <w:rPr>
          <w:rFonts w:ascii="Times New Roman" w:hAnsi="Times New Roman" w:cs="Times New Roman"/>
          <w:sz w:val="24"/>
          <w:szCs w:val="24"/>
        </w:rPr>
        <w:t>1.870.966,82 €</w:t>
      </w:r>
      <w:r w:rsidRPr="00D47721">
        <w:rPr>
          <w:rFonts w:ascii="Times New Roman" w:hAnsi="Times New Roman" w:cs="Times New Roman"/>
          <w:sz w:val="24"/>
          <w:szCs w:val="24"/>
        </w:rPr>
        <w:t>. Rashodi poslovanja planirani su u 202</w:t>
      </w:r>
      <w:r w:rsidR="00B57B05">
        <w:rPr>
          <w:rFonts w:ascii="Times New Roman" w:hAnsi="Times New Roman" w:cs="Times New Roman"/>
          <w:sz w:val="24"/>
          <w:szCs w:val="24"/>
        </w:rPr>
        <w:t>3</w:t>
      </w:r>
      <w:r w:rsidRPr="00D47721">
        <w:rPr>
          <w:rFonts w:ascii="Times New Roman" w:hAnsi="Times New Roman" w:cs="Times New Roman"/>
          <w:sz w:val="24"/>
          <w:szCs w:val="24"/>
        </w:rPr>
        <w:t xml:space="preserve">. godini u iznosu od </w:t>
      </w:r>
      <w:r w:rsidR="007E4051">
        <w:rPr>
          <w:rFonts w:ascii="Times New Roman" w:hAnsi="Times New Roman" w:cs="Times New Roman"/>
          <w:sz w:val="24"/>
          <w:szCs w:val="24"/>
        </w:rPr>
        <w:t>1.174.251,77 €</w:t>
      </w:r>
      <w:r w:rsidRPr="00D47721">
        <w:rPr>
          <w:rFonts w:ascii="Times New Roman" w:hAnsi="Times New Roman" w:cs="Times New Roman"/>
          <w:sz w:val="24"/>
          <w:szCs w:val="24"/>
        </w:rPr>
        <w:t xml:space="preserve"> i u ukupnim rashodima i izdacima sudjeluju s </w:t>
      </w:r>
      <w:r w:rsidR="00192F6A">
        <w:rPr>
          <w:rFonts w:ascii="Times New Roman" w:hAnsi="Times New Roman" w:cs="Times New Roman"/>
          <w:sz w:val="24"/>
          <w:szCs w:val="24"/>
        </w:rPr>
        <w:t>7</w:t>
      </w:r>
      <w:r w:rsidR="00824E61">
        <w:rPr>
          <w:rFonts w:ascii="Times New Roman" w:hAnsi="Times New Roman" w:cs="Times New Roman"/>
          <w:sz w:val="24"/>
          <w:szCs w:val="24"/>
        </w:rPr>
        <w:t xml:space="preserve">1,13 </w:t>
      </w:r>
      <w:r w:rsidRPr="00D47721">
        <w:rPr>
          <w:rFonts w:ascii="Times New Roman" w:hAnsi="Times New Roman" w:cs="Times New Roman"/>
          <w:sz w:val="24"/>
          <w:szCs w:val="24"/>
        </w:rPr>
        <w:t xml:space="preserve">%, rashodi za nabavu nefinancijske imovine planirani su u iznosu od </w:t>
      </w:r>
      <w:r w:rsidR="007E4051">
        <w:rPr>
          <w:rFonts w:ascii="Times New Roman" w:hAnsi="Times New Roman" w:cs="Times New Roman"/>
          <w:sz w:val="24"/>
          <w:szCs w:val="24"/>
        </w:rPr>
        <w:t>479.131,31 €</w:t>
      </w:r>
      <w:r w:rsidRPr="00D47721">
        <w:rPr>
          <w:rFonts w:ascii="Times New Roman" w:hAnsi="Times New Roman" w:cs="Times New Roman"/>
          <w:sz w:val="24"/>
          <w:szCs w:val="24"/>
        </w:rPr>
        <w:t xml:space="preserve"> i u ukupnim rashodima sudjeluju s </w:t>
      </w:r>
      <w:r w:rsidR="007E4051">
        <w:rPr>
          <w:rFonts w:ascii="Times New Roman" w:hAnsi="Times New Roman" w:cs="Times New Roman"/>
          <w:sz w:val="24"/>
          <w:szCs w:val="24"/>
        </w:rPr>
        <w:t>25,61</w:t>
      </w:r>
      <w:r w:rsidR="00824E61">
        <w:rPr>
          <w:rFonts w:ascii="Times New Roman" w:hAnsi="Times New Roman" w:cs="Times New Roman"/>
          <w:sz w:val="24"/>
          <w:szCs w:val="24"/>
        </w:rPr>
        <w:t xml:space="preserve"> </w:t>
      </w:r>
      <w:r w:rsidR="00192F6A">
        <w:rPr>
          <w:rFonts w:ascii="Times New Roman" w:hAnsi="Times New Roman" w:cs="Times New Roman"/>
          <w:sz w:val="24"/>
          <w:szCs w:val="24"/>
        </w:rPr>
        <w:t xml:space="preserve">%, rashodi za dodatna ulaganja u nefinancijskoj imovini planirani su u iznosu od </w:t>
      </w:r>
      <w:r w:rsidR="007E4051">
        <w:rPr>
          <w:rFonts w:ascii="Times New Roman" w:hAnsi="Times New Roman" w:cs="Times New Roman"/>
          <w:sz w:val="24"/>
          <w:szCs w:val="24"/>
        </w:rPr>
        <w:t>13.272,88€</w:t>
      </w:r>
      <w:r w:rsidR="00192F6A">
        <w:rPr>
          <w:rFonts w:ascii="Times New Roman" w:hAnsi="Times New Roman" w:cs="Times New Roman"/>
          <w:sz w:val="24"/>
          <w:szCs w:val="24"/>
        </w:rPr>
        <w:t xml:space="preserve"> a čine </w:t>
      </w:r>
      <w:r w:rsidR="00824E61">
        <w:rPr>
          <w:rFonts w:ascii="Times New Roman" w:hAnsi="Times New Roman" w:cs="Times New Roman"/>
          <w:sz w:val="24"/>
          <w:szCs w:val="24"/>
        </w:rPr>
        <w:t>0,71</w:t>
      </w:r>
      <w:r w:rsidR="00192F6A">
        <w:rPr>
          <w:rFonts w:ascii="Times New Roman" w:hAnsi="Times New Roman" w:cs="Times New Roman"/>
          <w:sz w:val="24"/>
          <w:szCs w:val="24"/>
        </w:rPr>
        <w:t xml:space="preserve"> % od ukupno planiranih rashoda.</w:t>
      </w:r>
      <w:r w:rsidRPr="00D47721">
        <w:rPr>
          <w:rFonts w:ascii="Times New Roman" w:hAnsi="Times New Roman" w:cs="Times New Roman"/>
          <w:sz w:val="24"/>
          <w:szCs w:val="24"/>
        </w:rPr>
        <w:t xml:space="preserve"> </w:t>
      </w:r>
      <w:r w:rsidR="00824E61">
        <w:rPr>
          <w:rFonts w:ascii="Times New Roman" w:hAnsi="Times New Roman" w:cs="Times New Roman"/>
          <w:sz w:val="24"/>
          <w:szCs w:val="24"/>
        </w:rPr>
        <w:t xml:space="preserve">Izdaci za financijsku imovinu i otplatu zajmova planirani su u iznosu od </w:t>
      </w:r>
      <w:r w:rsidR="007E4051">
        <w:rPr>
          <w:rFonts w:ascii="Times New Roman" w:hAnsi="Times New Roman" w:cs="Times New Roman"/>
          <w:sz w:val="24"/>
          <w:szCs w:val="24"/>
        </w:rPr>
        <w:t>39.816,84 €</w:t>
      </w:r>
      <w:r w:rsidR="00824E61">
        <w:rPr>
          <w:rFonts w:ascii="Times New Roman" w:hAnsi="Times New Roman" w:cs="Times New Roman"/>
          <w:sz w:val="24"/>
          <w:szCs w:val="24"/>
        </w:rPr>
        <w:t xml:space="preserve"> i čine 2,13 % od ukupnih rashoda.</w:t>
      </w:r>
      <w:r w:rsidRPr="00D47721">
        <w:rPr>
          <w:rFonts w:ascii="Times New Roman" w:hAnsi="Times New Roman" w:cs="Times New Roman"/>
          <w:sz w:val="24"/>
          <w:szCs w:val="24"/>
        </w:rPr>
        <w:t xml:space="preserve"> U navedenim ukupnim rashodima i izdacima za 202</w:t>
      </w:r>
      <w:r w:rsidR="00824E61">
        <w:rPr>
          <w:rFonts w:ascii="Times New Roman" w:hAnsi="Times New Roman" w:cs="Times New Roman"/>
          <w:sz w:val="24"/>
          <w:szCs w:val="24"/>
        </w:rPr>
        <w:t>3</w:t>
      </w:r>
      <w:r w:rsidRPr="00D47721">
        <w:rPr>
          <w:rFonts w:ascii="Times New Roman" w:hAnsi="Times New Roman" w:cs="Times New Roman"/>
          <w:sz w:val="24"/>
          <w:szCs w:val="24"/>
        </w:rPr>
        <w:t xml:space="preserve">. godinu nalaze se i rashodi proračunskih korisnika , koji se financiraju iz ostalih prihoda proračunskih korisnika. Taj dio rashoda od svih proračunskih korisnika Općine </w:t>
      </w:r>
      <w:r w:rsidR="00192F6A">
        <w:rPr>
          <w:rFonts w:ascii="Times New Roman" w:hAnsi="Times New Roman" w:cs="Times New Roman"/>
          <w:sz w:val="24"/>
          <w:szCs w:val="24"/>
        </w:rPr>
        <w:t>Dvor</w:t>
      </w:r>
      <w:r w:rsidRPr="00D47721">
        <w:rPr>
          <w:rFonts w:ascii="Times New Roman" w:hAnsi="Times New Roman" w:cs="Times New Roman"/>
          <w:sz w:val="24"/>
          <w:szCs w:val="24"/>
        </w:rPr>
        <w:t xml:space="preserve"> za 202</w:t>
      </w:r>
      <w:r w:rsidR="00824E61">
        <w:rPr>
          <w:rFonts w:ascii="Times New Roman" w:hAnsi="Times New Roman" w:cs="Times New Roman"/>
          <w:sz w:val="24"/>
          <w:szCs w:val="24"/>
        </w:rPr>
        <w:t>3</w:t>
      </w:r>
      <w:r w:rsidRPr="00D47721">
        <w:rPr>
          <w:rFonts w:ascii="Times New Roman" w:hAnsi="Times New Roman" w:cs="Times New Roman"/>
          <w:sz w:val="24"/>
          <w:szCs w:val="24"/>
        </w:rPr>
        <w:t xml:space="preserve">. godinu planiran je u iznosu od </w:t>
      </w:r>
      <w:r w:rsidR="00413ACB">
        <w:rPr>
          <w:rFonts w:ascii="Times New Roman" w:hAnsi="Times New Roman" w:cs="Times New Roman"/>
          <w:sz w:val="24"/>
          <w:szCs w:val="24"/>
        </w:rPr>
        <w:t>25.384,55 €</w:t>
      </w:r>
      <w:r w:rsidRPr="00D47721">
        <w:rPr>
          <w:rFonts w:ascii="Times New Roman" w:hAnsi="Times New Roman" w:cs="Times New Roman"/>
          <w:sz w:val="24"/>
          <w:szCs w:val="24"/>
        </w:rPr>
        <w:t xml:space="preserve"> i sudjeluje s </w:t>
      </w:r>
      <w:r w:rsidR="00413ACB">
        <w:rPr>
          <w:rFonts w:ascii="Times New Roman" w:hAnsi="Times New Roman" w:cs="Times New Roman"/>
          <w:sz w:val="24"/>
          <w:szCs w:val="24"/>
        </w:rPr>
        <w:t>1,36</w:t>
      </w:r>
      <w:r w:rsidR="00824E61">
        <w:rPr>
          <w:rFonts w:ascii="Times New Roman" w:hAnsi="Times New Roman" w:cs="Times New Roman"/>
          <w:sz w:val="24"/>
          <w:szCs w:val="24"/>
        </w:rPr>
        <w:t xml:space="preserve"> </w:t>
      </w:r>
      <w:r w:rsidRPr="00D47721">
        <w:rPr>
          <w:rFonts w:ascii="Times New Roman" w:hAnsi="Times New Roman" w:cs="Times New Roman"/>
          <w:sz w:val="24"/>
          <w:szCs w:val="24"/>
        </w:rPr>
        <w:t>% u ukupno planiranim rashodima proračuna za 202</w:t>
      </w:r>
      <w:r w:rsidR="00824E61">
        <w:rPr>
          <w:rFonts w:ascii="Times New Roman" w:hAnsi="Times New Roman" w:cs="Times New Roman"/>
          <w:sz w:val="24"/>
          <w:szCs w:val="24"/>
        </w:rPr>
        <w:t>3</w:t>
      </w:r>
      <w:r w:rsidRPr="00D47721">
        <w:rPr>
          <w:rFonts w:ascii="Times New Roman" w:hAnsi="Times New Roman" w:cs="Times New Roman"/>
          <w:sz w:val="24"/>
          <w:szCs w:val="24"/>
        </w:rPr>
        <w:t>. godinu. U nastavu dan je pregled osnovnih kategorija rashoda iskazanih po ekono</w:t>
      </w:r>
      <w:r w:rsidR="00850C0E" w:rsidRPr="00D47721">
        <w:rPr>
          <w:rFonts w:ascii="Times New Roman" w:hAnsi="Times New Roman" w:cs="Times New Roman"/>
          <w:sz w:val="24"/>
          <w:szCs w:val="24"/>
        </w:rPr>
        <w:t>mskoj klasifikaciji:</w:t>
      </w:r>
    </w:p>
    <w:tbl>
      <w:tblPr>
        <w:tblW w:w="10216" w:type="dxa"/>
        <w:tblInd w:w="-426" w:type="dxa"/>
        <w:tblLook w:val="04A0" w:firstRow="1" w:lastRow="0" w:firstColumn="1" w:lastColumn="0" w:noHBand="0" w:noVBand="1"/>
      </w:tblPr>
      <w:tblGrid>
        <w:gridCol w:w="8720"/>
        <w:gridCol w:w="1496"/>
      </w:tblGrid>
      <w:tr w:rsidR="00C52E6D" w:rsidRPr="00C52E6D" w14:paraId="641C60FC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537E5EE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C7CA03F" w14:textId="6D60F0E6" w:rsidR="00C52E6D" w:rsidRPr="00C52E6D" w:rsidRDefault="00413ACB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1.330.785,06</w:t>
            </w:r>
          </w:p>
        </w:tc>
      </w:tr>
      <w:tr w:rsidR="00C52E6D" w:rsidRPr="00C52E6D" w14:paraId="00A9E6E1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840E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E521" w14:textId="19543DB0" w:rsidR="00C52E6D" w:rsidRPr="00C52E6D" w:rsidRDefault="00413ACB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325.157,61</w:t>
            </w:r>
          </w:p>
        </w:tc>
      </w:tr>
      <w:tr w:rsidR="00C52E6D" w:rsidRPr="00C52E6D" w14:paraId="33690BD5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E895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615D" w14:textId="24C895FC" w:rsidR="00C52E6D" w:rsidRPr="00C52E6D" w:rsidRDefault="00413ACB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255.889,57</w:t>
            </w:r>
          </w:p>
        </w:tc>
      </w:tr>
      <w:tr w:rsidR="00C52E6D" w:rsidRPr="00C52E6D" w14:paraId="36A257C3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C0D8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0FD6" w14:textId="1FB3CACF" w:rsidR="00C52E6D" w:rsidRPr="00C52E6D" w:rsidRDefault="00413ACB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27.009,10</w:t>
            </w:r>
          </w:p>
        </w:tc>
      </w:tr>
      <w:tr w:rsidR="00C52E6D" w:rsidRPr="00C52E6D" w14:paraId="05EBFA10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B793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2CCF" w14:textId="355553D4" w:rsidR="00C52E6D" w:rsidRPr="00C52E6D" w:rsidRDefault="00413ACB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42.258,94</w:t>
            </w:r>
          </w:p>
        </w:tc>
      </w:tr>
      <w:tr w:rsidR="00C52E6D" w:rsidRPr="00C52E6D" w14:paraId="0D9006BF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EAC3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2877" w14:textId="497AB5D4" w:rsidR="00C52E6D" w:rsidRPr="00C52E6D" w:rsidRDefault="00413ACB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713.690,32</w:t>
            </w:r>
          </w:p>
        </w:tc>
      </w:tr>
      <w:tr w:rsidR="00C52E6D" w:rsidRPr="00C52E6D" w14:paraId="31944C2B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72A0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4888" w14:textId="51FA5B6F" w:rsidR="00C52E6D" w:rsidRPr="00C52E6D" w:rsidRDefault="00413ACB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17.320,32</w:t>
            </w:r>
          </w:p>
        </w:tc>
      </w:tr>
      <w:tr w:rsidR="00C52E6D" w:rsidRPr="00C52E6D" w14:paraId="04B8E562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E165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9603" w14:textId="3B5C1C68" w:rsidR="00C52E6D" w:rsidRPr="00C52E6D" w:rsidRDefault="00413ACB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155.418,38</w:t>
            </w:r>
          </w:p>
        </w:tc>
      </w:tr>
      <w:tr w:rsidR="00C52E6D" w:rsidRPr="00C52E6D" w14:paraId="42B7B9D3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907B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9B26" w14:textId="73C4B9C4" w:rsidR="00C52E6D" w:rsidRPr="00C52E6D" w:rsidRDefault="00413ACB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451.727,38</w:t>
            </w:r>
          </w:p>
        </w:tc>
      </w:tr>
      <w:tr w:rsidR="008451C5" w:rsidRPr="00C52E6D" w14:paraId="14033004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0B643" w14:textId="77777777" w:rsidR="008451C5" w:rsidRPr="00C52E6D" w:rsidRDefault="008451C5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DD51" w14:textId="35586B80" w:rsidR="008451C5" w:rsidRDefault="00413ACB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265,45</w:t>
            </w:r>
          </w:p>
        </w:tc>
      </w:tr>
      <w:tr w:rsidR="00C52E6D" w:rsidRPr="00C52E6D" w14:paraId="0FA5AEB6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B6C9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12BD" w14:textId="5087CF8A" w:rsidR="00C52E6D" w:rsidRPr="00C52E6D" w:rsidRDefault="00413ACB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</w:t>
            </w:r>
            <w:r w:rsidR="00F737B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.958,79</w:t>
            </w:r>
          </w:p>
        </w:tc>
      </w:tr>
      <w:tr w:rsidR="00C52E6D" w:rsidRPr="00C52E6D" w14:paraId="2F7D3704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2B9F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52BE" w14:textId="5C209833" w:rsidR="00C52E6D" w:rsidRPr="00C52E6D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3.185,35</w:t>
            </w:r>
          </w:p>
        </w:tc>
      </w:tr>
      <w:tr w:rsidR="00C52E6D" w:rsidRPr="00C52E6D" w14:paraId="275BCAD5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4ED2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BB3C" w14:textId="024C79AE" w:rsidR="00C52E6D" w:rsidRPr="00C52E6D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3.185,35</w:t>
            </w:r>
          </w:p>
        </w:tc>
      </w:tr>
      <w:tr w:rsidR="00AF534C" w:rsidRPr="00C52E6D" w14:paraId="63320023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125A6" w14:textId="77777777" w:rsidR="00AF534C" w:rsidRPr="00C52E6D" w:rsidRDefault="00AF534C" w:rsidP="00C5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E03BC" w14:textId="77777777" w:rsidR="00AF534C" w:rsidRPr="00C52E6D" w:rsidRDefault="00AF534C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F534C" w:rsidRPr="00C52E6D" w14:paraId="1A1EB307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C2B71" w14:textId="77777777" w:rsidR="00AF534C" w:rsidRPr="00AF534C" w:rsidRDefault="00AF534C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3C21" w14:textId="77777777" w:rsidR="00AF534C" w:rsidRPr="00AF534C" w:rsidRDefault="00AF534C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F534C" w:rsidRPr="00C52E6D" w14:paraId="5CE26020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6E2E5" w14:textId="77777777" w:rsidR="00AF534C" w:rsidRPr="00AF534C" w:rsidRDefault="00AF534C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B2C61" w14:textId="77777777" w:rsidR="00AF534C" w:rsidRPr="00C52E6D" w:rsidRDefault="00AF534C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F534C" w:rsidRPr="00C52E6D" w14:paraId="7C8919E7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9220" w14:textId="77777777" w:rsidR="00AF534C" w:rsidRPr="00AF534C" w:rsidRDefault="00AF534C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8C20C" w14:textId="77777777" w:rsidR="00AF534C" w:rsidRPr="00AF534C" w:rsidRDefault="00AF534C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52E6D" w:rsidRPr="00C52E6D" w14:paraId="3F07234E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A110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BD41" w14:textId="3EB76CAE" w:rsidR="00C52E6D" w:rsidRPr="00C52E6D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99.807,56</w:t>
            </w:r>
          </w:p>
        </w:tc>
      </w:tr>
      <w:tr w:rsidR="00C52E6D" w:rsidRPr="00C52E6D" w14:paraId="48523EFD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4620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E47B" w14:textId="15B68ABC" w:rsidR="00C52E6D" w:rsidRPr="00C52E6D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86.269,83</w:t>
            </w:r>
          </w:p>
        </w:tc>
      </w:tr>
      <w:tr w:rsidR="00C52E6D" w:rsidRPr="00C52E6D" w14:paraId="0BE90162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56F0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05A9" w14:textId="1C6F101E" w:rsidR="00C52E6D" w:rsidRPr="00C52E6D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13.537,73</w:t>
            </w:r>
          </w:p>
        </w:tc>
      </w:tr>
      <w:tr w:rsidR="00C52E6D" w:rsidRPr="00C52E6D" w14:paraId="7E523B49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D00A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D565" w14:textId="3A55AE3B" w:rsidR="00C52E6D" w:rsidRPr="00C52E6D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70.343,09</w:t>
            </w:r>
          </w:p>
        </w:tc>
      </w:tr>
      <w:tr w:rsidR="00C52E6D" w:rsidRPr="00C52E6D" w14:paraId="3ABB0277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572E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5CB2" w14:textId="5A465687" w:rsidR="00C52E6D" w:rsidRPr="00C52E6D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70.343,09</w:t>
            </w:r>
          </w:p>
        </w:tc>
      </w:tr>
      <w:tr w:rsidR="00C52E6D" w:rsidRPr="00C52E6D" w14:paraId="341A7B4F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54FD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4BDF" w14:textId="4E78F654" w:rsidR="00C52E6D" w:rsidRPr="00C52E6D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118.601,09</w:t>
            </w:r>
          </w:p>
        </w:tc>
      </w:tr>
      <w:tr w:rsidR="00C52E6D" w:rsidRPr="00C52E6D" w14:paraId="7E6667D0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629B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DD80" w14:textId="3BD83914" w:rsidR="00C52E6D" w:rsidRPr="00C52E6D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71.484,50</w:t>
            </w:r>
          </w:p>
        </w:tc>
      </w:tr>
      <w:tr w:rsidR="00AF534C" w:rsidRPr="00C52E6D" w14:paraId="39E186DF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A17B" w14:textId="77777777" w:rsidR="00AF534C" w:rsidRPr="00C52E6D" w:rsidRDefault="00AF534C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4BC88" w14:textId="7AEBADD9" w:rsidR="00AF534C" w:rsidRPr="00C52E6D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7.299,75</w:t>
            </w:r>
          </w:p>
        </w:tc>
      </w:tr>
      <w:tr w:rsidR="00C52E6D" w:rsidRPr="00C52E6D" w14:paraId="05AD86D2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EE35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2EE3" w14:textId="777403BD" w:rsidR="00C52E6D" w:rsidRPr="00C52E6D" w:rsidRDefault="00824E61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="00F737B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39.816,64</w:t>
            </w:r>
          </w:p>
        </w:tc>
      </w:tr>
      <w:tr w:rsidR="00C52E6D" w:rsidRPr="00C52E6D" w14:paraId="210FACB4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D19DD49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44B1FCD" w14:textId="13D3BF9D" w:rsidR="00C52E6D" w:rsidRPr="00C52E6D" w:rsidRDefault="00413ACB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500.364,98</w:t>
            </w:r>
          </w:p>
        </w:tc>
      </w:tr>
      <w:tr w:rsidR="00F83E6F" w:rsidRPr="00C52E6D" w14:paraId="6F811856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135D4" w14:textId="77777777" w:rsidR="00F83E6F" w:rsidRPr="00C52E6D" w:rsidRDefault="00F83E6F" w:rsidP="00C5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</w:t>
            </w:r>
            <w:r w:rsidRPr="00C5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proizvedene</w:t>
            </w:r>
            <w:proofErr w:type="spellEnd"/>
            <w:r w:rsidRPr="00C5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AE7F3" w14:textId="6E080A0F" w:rsidR="00F83E6F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49.107,43</w:t>
            </w:r>
          </w:p>
        </w:tc>
      </w:tr>
      <w:tr w:rsidR="00F83E6F" w:rsidRPr="00C52E6D" w14:paraId="43A31949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8AE3" w14:textId="77777777" w:rsidR="00F83E6F" w:rsidRPr="00F83E6F" w:rsidRDefault="00F83E6F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3E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F2D2" w14:textId="3B1E3642" w:rsidR="00F83E6F" w:rsidRPr="00F83E6F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49.107,43</w:t>
            </w:r>
          </w:p>
        </w:tc>
      </w:tr>
      <w:tr w:rsidR="00C52E6D" w:rsidRPr="00C52E6D" w14:paraId="4CEC81F5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EBCB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C8A1" w14:textId="73F06063" w:rsidR="00C52E6D" w:rsidRPr="00C52E6D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437.985,25</w:t>
            </w:r>
          </w:p>
        </w:tc>
      </w:tr>
      <w:tr w:rsidR="00C52E6D" w:rsidRPr="00C52E6D" w14:paraId="6012AFA5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7A0F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5410" w14:textId="0E7A4F72" w:rsidR="00C52E6D" w:rsidRPr="00C52E6D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414.758,77</w:t>
            </w:r>
          </w:p>
        </w:tc>
      </w:tr>
      <w:tr w:rsidR="00C52E6D" w:rsidRPr="00C52E6D" w14:paraId="0572DFBA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31DF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0530" w14:textId="608BAF22" w:rsidR="00C52E6D" w:rsidRPr="00C52E6D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9.954,20</w:t>
            </w:r>
          </w:p>
        </w:tc>
      </w:tr>
      <w:tr w:rsidR="00C52E6D" w:rsidRPr="00C52E6D" w14:paraId="27BE6A51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B85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F296" w14:textId="6FF65FFE" w:rsidR="00C52E6D" w:rsidRPr="00C52E6D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6.636,14</w:t>
            </w:r>
          </w:p>
        </w:tc>
      </w:tr>
      <w:tr w:rsidR="00AF534C" w:rsidRPr="00C52E6D" w14:paraId="062E9612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168C9" w14:textId="77777777" w:rsidR="00AF534C" w:rsidRPr="00C52E6D" w:rsidRDefault="00AF534C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CC2D" w14:textId="2AF78374" w:rsidR="00AF534C" w:rsidRPr="00C52E6D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6.636,14</w:t>
            </w:r>
          </w:p>
        </w:tc>
      </w:tr>
      <w:tr w:rsidR="00C52E6D" w:rsidRPr="00C52E6D" w14:paraId="07964F08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DB19" w14:textId="77777777" w:rsidR="00C52E6D" w:rsidRP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2E83" w14:textId="51541A05" w:rsidR="00C52E6D" w:rsidRPr="00C52E6D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C52E6D" w:rsidRPr="00C52E6D" w14:paraId="4F23E2D7" w14:textId="77777777" w:rsidTr="00574CCE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072B" w14:textId="77777777" w:rsidR="00C52E6D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E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  <w:p w14:paraId="2C62878D" w14:textId="1CD1E716" w:rsidR="00A40F56" w:rsidRPr="00C52E6D" w:rsidRDefault="00A40F56" w:rsidP="00C5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F50D" w14:textId="1BF8D588" w:rsidR="00C52E6D" w:rsidRPr="00C52E6D" w:rsidRDefault="00F737B5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13.272,28</w:t>
            </w:r>
          </w:p>
        </w:tc>
      </w:tr>
      <w:tr w:rsidR="00A40F56" w:rsidRPr="00A40F56" w14:paraId="30D1B900" w14:textId="77777777" w:rsidTr="000F5211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23A42" w14:textId="77777777" w:rsidR="00C52E6D" w:rsidRPr="00A40F56" w:rsidRDefault="00C52E6D" w:rsidP="00C52E6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1BBE2" w14:textId="77777777" w:rsidR="00C52E6D" w:rsidRPr="00A40F56" w:rsidRDefault="00C52E6D" w:rsidP="00C52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hr-HR"/>
              </w:rPr>
            </w:pPr>
          </w:p>
        </w:tc>
      </w:tr>
    </w:tbl>
    <w:p w14:paraId="78B2FE0D" w14:textId="13DCEA7C" w:rsidR="00747D0C" w:rsidRDefault="00A40F56" w:rsidP="00A40F56">
      <w:pPr>
        <w:ind w:left="-284" w:right="-711"/>
        <w:jc w:val="both"/>
        <w:rPr>
          <w:rFonts w:ascii="Arial" w:hAnsi="Arial" w:cs="Arial"/>
          <w:b/>
          <w:bCs/>
          <w:sz w:val="20"/>
          <w:szCs w:val="20"/>
        </w:rPr>
      </w:pPr>
      <w:r w:rsidRPr="00A40F56">
        <w:rPr>
          <w:rFonts w:ascii="Arial" w:hAnsi="Arial" w:cs="Arial"/>
          <w:b/>
          <w:bCs/>
          <w:color w:val="FFFFFF" w:themeColor="background1"/>
          <w:sz w:val="20"/>
          <w:szCs w:val="20"/>
          <w:highlight w:val="darkBlue"/>
        </w:rPr>
        <w:t>Izdaci za financijsku imovinu i otplate zajmova                                                                                     39.816,84</w:t>
      </w:r>
    </w:p>
    <w:p w14:paraId="1D1C4102" w14:textId="18352A2D" w:rsidR="00A40F56" w:rsidRDefault="00A40F56" w:rsidP="00A40F56">
      <w:pPr>
        <w:ind w:left="-284" w:right="-711"/>
        <w:jc w:val="both"/>
        <w:rPr>
          <w:rFonts w:ascii="Arial" w:hAnsi="Arial" w:cs="Arial"/>
          <w:sz w:val="20"/>
          <w:szCs w:val="20"/>
        </w:rPr>
      </w:pPr>
      <w:r w:rsidRPr="00A40F56">
        <w:rPr>
          <w:rFonts w:ascii="Arial" w:hAnsi="Arial" w:cs="Arial"/>
          <w:sz w:val="20"/>
          <w:szCs w:val="20"/>
        </w:rPr>
        <w:t>Izdaci za otplatu glavnice primljenih kredita i zajmova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39.816,84</w:t>
      </w:r>
    </w:p>
    <w:p w14:paraId="4A9FB493" w14:textId="77777777" w:rsidR="00A40F56" w:rsidRPr="00A40F56" w:rsidRDefault="00A40F56" w:rsidP="00A40F56">
      <w:pPr>
        <w:ind w:left="-284" w:right="-711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05C93CC0" w14:textId="77777777" w:rsidR="00C52E6D" w:rsidRPr="00A40F56" w:rsidRDefault="00C52E6D" w:rsidP="00C52E6D">
      <w:pPr>
        <w:jc w:val="both"/>
      </w:pPr>
      <w:r w:rsidRPr="00A40F56">
        <w:rPr>
          <w:rFonts w:ascii="Times New Roman" w:hAnsi="Times New Roman" w:cs="Times New Roman"/>
          <w:b/>
          <w:bCs/>
        </w:rPr>
        <w:t>4. RASHODI PO IZVORIMA FINANCIRANJA</w:t>
      </w:r>
    </w:p>
    <w:p w14:paraId="142C4754" w14:textId="77777777" w:rsidR="00C52E6D" w:rsidRPr="00C52E6D" w:rsidRDefault="00C52E6D" w:rsidP="00B44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E6D">
        <w:rPr>
          <w:rFonts w:ascii="Times New Roman" w:hAnsi="Times New Roman" w:cs="Times New Roman"/>
          <w:sz w:val="24"/>
          <w:szCs w:val="24"/>
        </w:rPr>
        <w:t xml:space="preserve">Pozicije prihoda i primitaka kao i rashoda i izdataka Proračuna Općine </w:t>
      </w:r>
      <w:r w:rsidR="0062605B">
        <w:rPr>
          <w:rFonts w:ascii="Times New Roman" w:hAnsi="Times New Roman" w:cs="Times New Roman"/>
          <w:sz w:val="24"/>
          <w:szCs w:val="24"/>
        </w:rPr>
        <w:t>Dvor</w:t>
      </w:r>
      <w:r w:rsidRPr="00C52E6D">
        <w:rPr>
          <w:rFonts w:ascii="Times New Roman" w:hAnsi="Times New Roman" w:cs="Times New Roman"/>
          <w:sz w:val="24"/>
          <w:szCs w:val="24"/>
        </w:rPr>
        <w:t xml:space="preserve"> za 202</w:t>
      </w:r>
      <w:r w:rsidR="000F5211">
        <w:rPr>
          <w:rFonts w:ascii="Times New Roman" w:hAnsi="Times New Roman" w:cs="Times New Roman"/>
          <w:sz w:val="24"/>
          <w:szCs w:val="24"/>
        </w:rPr>
        <w:t>3</w:t>
      </w:r>
      <w:r w:rsidRPr="00C52E6D">
        <w:rPr>
          <w:rFonts w:ascii="Times New Roman" w:hAnsi="Times New Roman" w:cs="Times New Roman"/>
          <w:sz w:val="24"/>
          <w:szCs w:val="24"/>
        </w:rPr>
        <w:t xml:space="preserve">. godinu planirane su po izvorima financiranja, prema Pravilniku o proračunskim klasifikacijama (Narodne novine broj 26/2010. i 120/13.). Izvore financiranja čine skupine prihoda i primitaka iz kojih se podmiruju rashodi i izdaci određene vrste i utvrđene namjene. Izvori financiranja planirani u Proračunu Općine </w:t>
      </w:r>
      <w:r w:rsidR="0062605B">
        <w:rPr>
          <w:rFonts w:ascii="Times New Roman" w:hAnsi="Times New Roman" w:cs="Times New Roman"/>
          <w:sz w:val="24"/>
          <w:szCs w:val="24"/>
        </w:rPr>
        <w:t>Dvor</w:t>
      </w:r>
      <w:r w:rsidRPr="00C52E6D">
        <w:rPr>
          <w:rFonts w:ascii="Times New Roman" w:hAnsi="Times New Roman" w:cs="Times New Roman"/>
          <w:sz w:val="24"/>
          <w:szCs w:val="24"/>
        </w:rPr>
        <w:t xml:space="preserve"> za 202</w:t>
      </w:r>
      <w:r w:rsidR="00EE581E">
        <w:rPr>
          <w:rFonts w:ascii="Times New Roman" w:hAnsi="Times New Roman" w:cs="Times New Roman"/>
          <w:sz w:val="24"/>
          <w:szCs w:val="24"/>
        </w:rPr>
        <w:t>3</w:t>
      </w:r>
      <w:r w:rsidRPr="00C52E6D">
        <w:rPr>
          <w:rFonts w:ascii="Times New Roman" w:hAnsi="Times New Roman" w:cs="Times New Roman"/>
          <w:sz w:val="24"/>
          <w:szCs w:val="24"/>
        </w:rPr>
        <w:t xml:space="preserve">. godinu jesu: </w:t>
      </w:r>
    </w:p>
    <w:p w14:paraId="01B91020" w14:textId="77777777" w:rsidR="00C52E6D" w:rsidRPr="00C52E6D" w:rsidRDefault="00B44D16" w:rsidP="00B44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E6D" w:rsidRPr="00C52E6D">
        <w:rPr>
          <w:rFonts w:ascii="Times New Roman" w:hAnsi="Times New Roman" w:cs="Times New Roman"/>
          <w:sz w:val="24"/>
          <w:szCs w:val="24"/>
        </w:rPr>
        <w:t xml:space="preserve">opći prihodi i primici </w:t>
      </w:r>
    </w:p>
    <w:p w14:paraId="33AC4E5A" w14:textId="77777777" w:rsidR="00C52E6D" w:rsidRPr="00C52E6D" w:rsidRDefault="00B44D16" w:rsidP="00B44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E6D" w:rsidRPr="00C52E6D">
        <w:rPr>
          <w:rFonts w:ascii="Times New Roman" w:hAnsi="Times New Roman" w:cs="Times New Roman"/>
          <w:sz w:val="24"/>
          <w:szCs w:val="24"/>
        </w:rPr>
        <w:t xml:space="preserve"> vlastiti prihodi</w:t>
      </w:r>
    </w:p>
    <w:p w14:paraId="7446AB69" w14:textId="77777777" w:rsidR="00C52E6D" w:rsidRPr="00C52E6D" w:rsidRDefault="00B44D16" w:rsidP="00B44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E6D" w:rsidRPr="00C52E6D">
        <w:rPr>
          <w:rFonts w:ascii="Times New Roman" w:hAnsi="Times New Roman" w:cs="Times New Roman"/>
          <w:sz w:val="24"/>
          <w:szCs w:val="24"/>
        </w:rPr>
        <w:t>prihodi za posebne namjene</w:t>
      </w:r>
    </w:p>
    <w:p w14:paraId="562ACE62" w14:textId="77777777" w:rsidR="00C52E6D" w:rsidRPr="00C52E6D" w:rsidRDefault="00B44D16" w:rsidP="00B44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E6D" w:rsidRPr="00C52E6D">
        <w:rPr>
          <w:rFonts w:ascii="Times New Roman" w:hAnsi="Times New Roman" w:cs="Times New Roman"/>
          <w:sz w:val="24"/>
          <w:szCs w:val="24"/>
        </w:rPr>
        <w:t xml:space="preserve">pomoći </w:t>
      </w:r>
    </w:p>
    <w:p w14:paraId="433C6D87" w14:textId="77777777" w:rsidR="00C52E6D" w:rsidRDefault="00B44D16" w:rsidP="00B44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E6D" w:rsidRPr="00C52E6D">
        <w:rPr>
          <w:rFonts w:ascii="Times New Roman" w:hAnsi="Times New Roman" w:cs="Times New Roman"/>
          <w:sz w:val="24"/>
          <w:szCs w:val="24"/>
        </w:rPr>
        <w:t xml:space="preserve">prihodi od prodaje </w:t>
      </w:r>
    </w:p>
    <w:p w14:paraId="0042AB6A" w14:textId="77777777" w:rsidR="00F0327B" w:rsidRPr="00C52E6D" w:rsidRDefault="00F0327B" w:rsidP="00B44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B6AD0B" w14:textId="3A8ECF37" w:rsidR="00511AC4" w:rsidRPr="003D62DA" w:rsidRDefault="00C52E6D" w:rsidP="00F03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44D16">
        <w:tab/>
      </w:r>
      <w:r w:rsidRPr="00F0327B">
        <w:rPr>
          <w:rFonts w:ascii="Times New Roman" w:hAnsi="Times New Roman" w:cs="Times New Roman"/>
          <w:b/>
          <w:bCs/>
          <w:sz w:val="24"/>
          <w:szCs w:val="24"/>
        </w:rPr>
        <w:t>Opći prihodi i primici</w:t>
      </w:r>
      <w:r w:rsidRPr="003D62DA">
        <w:rPr>
          <w:rFonts w:ascii="Times New Roman" w:hAnsi="Times New Roman" w:cs="Times New Roman"/>
          <w:sz w:val="24"/>
          <w:szCs w:val="24"/>
        </w:rPr>
        <w:t xml:space="preserve"> uključuju prihode po posebnim propisima za koje nije definirana namjena korištenja, a to su: prihodi od poreza, prihodi od imovine, prihodi od administrativnih (upravnih) pristojbi, prihodi od kazni, te primici od financijske imovine za koje nije definirana namjena </w:t>
      </w:r>
      <w:proofErr w:type="spellStart"/>
      <w:r w:rsidRPr="003D62DA">
        <w:rPr>
          <w:rFonts w:ascii="Times New Roman" w:hAnsi="Times New Roman" w:cs="Times New Roman"/>
          <w:sz w:val="24"/>
          <w:szCs w:val="24"/>
        </w:rPr>
        <w:t>korištenja.U</w:t>
      </w:r>
      <w:proofErr w:type="spellEnd"/>
      <w:r w:rsidRPr="003D62DA">
        <w:rPr>
          <w:rFonts w:ascii="Times New Roman" w:hAnsi="Times New Roman" w:cs="Times New Roman"/>
          <w:sz w:val="24"/>
          <w:szCs w:val="24"/>
        </w:rPr>
        <w:t xml:space="preserve"> 20</w:t>
      </w:r>
      <w:r w:rsidR="00B44D16" w:rsidRPr="003D62DA">
        <w:rPr>
          <w:rFonts w:ascii="Times New Roman" w:hAnsi="Times New Roman" w:cs="Times New Roman"/>
          <w:sz w:val="24"/>
          <w:szCs w:val="24"/>
        </w:rPr>
        <w:t>2</w:t>
      </w:r>
      <w:r w:rsidR="000F5211">
        <w:rPr>
          <w:rFonts w:ascii="Times New Roman" w:hAnsi="Times New Roman" w:cs="Times New Roman"/>
          <w:sz w:val="24"/>
          <w:szCs w:val="24"/>
        </w:rPr>
        <w:t>3</w:t>
      </w:r>
      <w:r w:rsidRPr="003D62DA">
        <w:rPr>
          <w:rFonts w:ascii="Times New Roman" w:hAnsi="Times New Roman" w:cs="Times New Roman"/>
          <w:sz w:val="24"/>
          <w:szCs w:val="24"/>
        </w:rPr>
        <w:t xml:space="preserve">. godini planirani su opći prihodi i primici u iznosu od </w:t>
      </w:r>
      <w:r w:rsidR="00F737B5">
        <w:rPr>
          <w:rFonts w:ascii="Times New Roman" w:hAnsi="Times New Roman" w:cs="Times New Roman"/>
          <w:sz w:val="24"/>
          <w:szCs w:val="24"/>
        </w:rPr>
        <w:t>334.93</w:t>
      </w:r>
      <w:r w:rsidR="001877D1">
        <w:rPr>
          <w:rFonts w:ascii="Times New Roman" w:hAnsi="Times New Roman" w:cs="Times New Roman"/>
          <w:sz w:val="24"/>
          <w:szCs w:val="24"/>
        </w:rPr>
        <w:t>1</w:t>
      </w:r>
      <w:r w:rsidR="00F737B5">
        <w:rPr>
          <w:rFonts w:ascii="Times New Roman" w:hAnsi="Times New Roman" w:cs="Times New Roman"/>
          <w:sz w:val="24"/>
          <w:szCs w:val="24"/>
        </w:rPr>
        <w:t>,32 €</w:t>
      </w:r>
    </w:p>
    <w:p w14:paraId="331946EE" w14:textId="7ED8FFA4" w:rsidR="00511AC4" w:rsidRPr="003D62DA" w:rsidRDefault="00C52E6D" w:rsidP="00F03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2DA">
        <w:rPr>
          <w:rFonts w:ascii="Times New Roman" w:hAnsi="Times New Roman" w:cs="Times New Roman"/>
          <w:sz w:val="24"/>
          <w:szCs w:val="24"/>
        </w:rPr>
        <w:t xml:space="preserve"> </w:t>
      </w:r>
      <w:r w:rsidR="00F0327B">
        <w:rPr>
          <w:rFonts w:ascii="Times New Roman" w:hAnsi="Times New Roman" w:cs="Times New Roman"/>
          <w:sz w:val="24"/>
          <w:szCs w:val="24"/>
        </w:rPr>
        <w:tab/>
      </w:r>
      <w:r w:rsidRPr="00F0327B">
        <w:rPr>
          <w:rFonts w:ascii="Times New Roman" w:hAnsi="Times New Roman" w:cs="Times New Roman"/>
          <w:b/>
          <w:bCs/>
          <w:sz w:val="24"/>
          <w:szCs w:val="24"/>
        </w:rPr>
        <w:t>Vlastiti prihodi</w:t>
      </w:r>
      <w:r w:rsidRPr="003D62DA">
        <w:rPr>
          <w:rFonts w:ascii="Times New Roman" w:hAnsi="Times New Roman" w:cs="Times New Roman"/>
          <w:sz w:val="24"/>
          <w:szCs w:val="24"/>
        </w:rPr>
        <w:t xml:space="preserve"> su prihodi koje proračunski korisnik ostvari obavljanjem poslova na tržištu i u tržišnim uvjetima, a koje poslove mogu obavljati i drugi pravni subjekti izvan općeg proračuna (iznajmljivanje prostora</w:t>
      </w:r>
      <w:r w:rsidR="00511AC4" w:rsidRPr="003D62DA">
        <w:rPr>
          <w:rFonts w:ascii="Times New Roman" w:hAnsi="Times New Roman" w:cs="Times New Roman"/>
          <w:sz w:val="24"/>
          <w:szCs w:val="24"/>
        </w:rPr>
        <w:t xml:space="preserve">), </w:t>
      </w:r>
      <w:r w:rsidRPr="003D62DA">
        <w:rPr>
          <w:rFonts w:ascii="Times New Roman" w:hAnsi="Times New Roman" w:cs="Times New Roman"/>
          <w:sz w:val="24"/>
          <w:szCs w:val="24"/>
        </w:rPr>
        <w:t>a njihov plan za 20</w:t>
      </w:r>
      <w:r w:rsidR="00511AC4" w:rsidRPr="003D62DA">
        <w:rPr>
          <w:rFonts w:ascii="Times New Roman" w:hAnsi="Times New Roman" w:cs="Times New Roman"/>
          <w:sz w:val="24"/>
          <w:szCs w:val="24"/>
        </w:rPr>
        <w:t>2</w:t>
      </w:r>
      <w:r w:rsidR="00840ECF">
        <w:rPr>
          <w:rFonts w:ascii="Times New Roman" w:hAnsi="Times New Roman" w:cs="Times New Roman"/>
          <w:sz w:val="24"/>
          <w:szCs w:val="24"/>
        </w:rPr>
        <w:t>3</w:t>
      </w:r>
      <w:r w:rsidRPr="003D62DA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F737B5">
        <w:rPr>
          <w:rFonts w:ascii="Times New Roman" w:hAnsi="Times New Roman" w:cs="Times New Roman"/>
          <w:sz w:val="24"/>
          <w:szCs w:val="24"/>
        </w:rPr>
        <w:t>19.881,88 €</w:t>
      </w:r>
      <w:r w:rsidRPr="003D62DA">
        <w:rPr>
          <w:rFonts w:ascii="Times New Roman" w:hAnsi="Times New Roman" w:cs="Times New Roman"/>
          <w:sz w:val="24"/>
          <w:szCs w:val="24"/>
        </w:rPr>
        <w:t>.</w:t>
      </w:r>
    </w:p>
    <w:p w14:paraId="6BC2E8B0" w14:textId="678EB479" w:rsidR="00511AC4" w:rsidRPr="003D62DA" w:rsidRDefault="00C52E6D" w:rsidP="00F03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2DA">
        <w:rPr>
          <w:rFonts w:ascii="Times New Roman" w:hAnsi="Times New Roman" w:cs="Times New Roman"/>
          <w:sz w:val="24"/>
          <w:szCs w:val="24"/>
        </w:rPr>
        <w:t xml:space="preserve"> </w:t>
      </w:r>
      <w:r w:rsidR="00F0327B">
        <w:rPr>
          <w:rFonts w:ascii="Times New Roman" w:hAnsi="Times New Roman" w:cs="Times New Roman"/>
          <w:sz w:val="24"/>
          <w:szCs w:val="24"/>
        </w:rPr>
        <w:tab/>
      </w:r>
      <w:r w:rsidRPr="00F0327B">
        <w:rPr>
          <w:rFonts w:ascii="Times New Roman" w:hAnsi="Times New Roman" w:cs="Times New Roman"/>
          <w:b/>
          <w:bCs/>
          <w:sz w:val="24"/>
          <w:szCs w:val="24"/>
        </w:rPr>
        <w:t>Prihodi za posebne namjene</w:t>
      </w:r>
      <w:r w:rsidRPr="003D62DA">
        <w:rPr>
          <w:rFonts w:ascii="Times New Roman" w:hAnsi="Times New Roman" w:cs="Times New Roman"/>
          <w:sz w:val="24"/>
          <w:szCs w:val="24"/>
        </w:rPr>
        <w:t xml:space="preserve"> uključuju prihode čija se namjena i korištenje utvrđuje posebnim zakonima i propisima a to su: komunalna naknada, komunalni doprinos, spomenička renta, doprinos za šume, naknada za koncesije, vodni doprinos, prihodi od zakupa poljoprivrednog zemljišta u vlasništvu države i naknada za zadržavanje nezakonito izgrađenih zgrada u prostoru, te prihodi za posebne namjene proračunskih korisnika. U 20</w:t>
      </w:r>
      <w:r w:rsidR="00511AC4" w:rsidRPr="003D62DA">
        <w:rPr>
          <w:rFonts w:ascii="Times New Roman" w:hAnsi="Times New Roman" w:cs="Times New Roman"/>
          <w:sz w:val="24"/>
          <w:szCs w:val="24"/>
        </w:rPr>
        <w:t>2</w:t>
      </w:r>
      <w:r w:rsidR="000F5211">
        <w:rPr>
          <w:rFonts w:ascii="Times New Roman" w:hAnsi="Times New Roman" w:cs="Times New Roman"/>
          <w:sz w:val="24"/>
          <w:szCs w:val="24"/>
        </w:rPr>
        <w:t>3</w:t>
      </w:r>
      <w:r w:rsidRPr="003D62DA">
        <w:rPr>
          <w:rFonts w:ascii="Times New Roman" w:hAnsi="Times New Roman" w:cs="Times New Roman"/>
          <w:sz w:val="24"/>
          <w:szCs w:val="24"/>
        </w:rPr>
        <w:t xml:space="preserve">. godini planirani su u iznosu </w:t>
      </w:r>
      <w:r w:rsidR="00F737B5">
        <w:rPr>
          <w:rFonts w:ascii="Times New Roman" w:hAnsi="Times New Roman" w:cs="Times New Roman"/>
          <w:sz w:val="24"/>
          <w:szCs w:val="24"/>
        </w:rPr>
        <w:t>416.948,71 €</w:t>
      </w:r>
      <w:r w:rsidRPr="003D62DA">
        <w:rPr>
          <w:rFonts w:ascii="Times New Roman" w:hAnsi="Times New Roman" w:cs="Times New Roman"/>
          <w:sz w:val="24"/>
          <w:szCs w:val="24"/>
        </w:rPr>
        <w:t>.</w:t>
      </w:r>
    </w:p>
    <w:p w14:paraId="2F659E40" w14:textId="578D17EA" w:rsidR="00511AC4" w:rsidRDefault="00C52E6D" w:rsidP="00F03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27B">
        <w:rPr>
          <w:rFonts w:ascii="Times New Roman" w:hAnsi="Times New Roman" w:cs="Times New Roman"/>
          <w:b/>
          <w:bCs/>
          <w:sz w:val="24"/>
          <w:szCs w:val="24"/>
        </w:rPr>
        <w:t xml:space="preserve"> Pomoći</w:t>
      </w:r>
      <w:r w:rsidRPr="003D62DA">
        <w:rPr>
          <w:rFonts w:ascii="Times New Roman" w:hAnsi="Times New Roman" w:cs="Times New Roman"/>
          <w:sz w:val="24"/>
          <w:szCs w:val="24"/>
        </w:rPr>
        <w:t xml:space="preserve"> uključuju prihode koji se ostvaruju od inozemnih vlada, međunarodnih organizacija, drugih proračuna, ostalih subjekata unutar općeg proračuna i izvanproračunskih korisnika, a za 20</w:t>
      </w:r>
      <w:r w:rsidR="00511AC4" w:rsidRPr="003D62DA">
        <w:rPr>
          <w:rFonts w:ascii="Times New Roman" w:hAnsi="Times New Roman" w:cs="Times New Roman"/>
          <w:sz w:val="24"/>
          <w:szCs w:val="24"/>
        </w:rPr>
        <w:t>2</w:t>
      </w:r>
      <w:r w:rsidR="000F5211">
        <w:rPr>
          <w:rFonts w:ascii="Times New Roman" w:hAnsi="Times New Roman" w:cs="Times New Roman"/>
          <w:sz w:val="24"/>
          <w:szCs w:val="24"/>
        </w:rPr>
        <w:t>3</w:t>
      </w:r>
      <w:r w:rsidRPr="003D62DA">
        <w:rPr>
          <w:rFonts w:ascii="Times New Roman" w:hAnsi="Times New Roman" w:cs="Times New Roman"/>
          <w:sz w:val="24"/>
          <w:szCs w:val="24"/>
        </w:rPr>
        <w:t xml:space="preserve">. godinu planirani su u iznosu od </w:t>
      </w:r>
      <w:r w:rsidR="00F737B5">
        <w:rPr>
          <w:rFonts w:ascii="Times New Roman" w:hAnsi="Times New Roman" w:cs="Times New Roman"/>
          <w:sz w:val="24"/>
          <w:szCs w:val="24"/>
        </w:rPr>
        <w:t>1.098.143,19 €</w:t>
      </w:r>
      <w:r w:rsidR="00511AC4" w:rsidRPr="003D62DA">
        <w:rPr>
          <w:rFonts w:ascii="Times New Roman" w:hAnsi="Times New Roman" w:cs="Times New Roman"/>
          <w:sz w:val="24"/>
          <w:szCs w:val="24"/>
        </w:rPr>
        <w:t>.</w:t>
      </w:r>
    </w:p>
    <w:p w14:paraId="6874CFE5" w14:textId="63B965E6" w:rsidR="003D62DA" w:rsidRDefault="003D62DA" w:rsidP="00F03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27B">
        <w:rPr>
          <w:rFonts w:ascii="Times New Roman" w:hAnsi="Times New Roman" w:cs="Times New Roman"/>
          <w:b/>
          <w:bCs/>
          <w:sz w:val="24"/>
          <w:szCs w:val="24"/>
        </w:rPr>
        <w:t>Prihodi od prodaje</w:t>
      </w:r>
      <w:r w:rsidR="00A66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2DA">
        <w:rPr>
          <w:rFonts w:ascii="Times New Roman" w:hAnsi="Times New Roman" w:cs="Times New Roman"/>
          <w:sz w:val="24"/>
          <w:szCs w:val="24"/>
        </w:rPr>
        <w:t>imovine čine prihode ostvarene prodajom nefinancijske imovine i  a  koristit</w:t>
      </w:r>
      <w:r w:rsidR="007D3E8A">
        <w:rPr>
          <w:rFonts w:ascii="Times New Roman" w:hAnsi="Times New Roman" w:cs="Times New Roman"/>
          <w:sz w:val="24"/>
          <w:szCs w:val="24"/>
        </w:rPr>
        <w:t>e se</w:t>
      </w:r>
      <w:r w:rsidRPr="003D62DA">
        <w:rPr>
          <w:rFonts w:ascii="Times New Roman" w:hAnsi="Times New Roman" w:cs="Times New Roman"/>
          <w:sz w:val="24"/>
          <w:szCs w:val="24"/>
        </w:rPr>
        <w:t xml:space="preserve"> za </w:t>
      </w:r>
      <w:r w:rsidR="007D3E8A">
        <w:rPr>
          <w:rFonts w:ascii="Times New Roman" w:hAnsi="Times New Roman" w:cs="Times New Roman"/>
          <w:sz w:val="24"/>
          <w:szCs w:val="24"/>
        </w:rPr>
        <w:t xml:space="preserve">usluge održavanja i </w:t>
      </w:r>
      <w:r w:rsidR="00F0327B">
        <w:rPr>
          <w:rFonts w:ascii="Times New Roman" w:hAnsi="Times New Roman" w:cs="Times New Roman"/>
          <w:sz w:val="24"/>
          <w:szCs w:val="24"/>
        </w:rPr>
        <w:t xml:space="preserve"> </w:t>
      </w:r>
      <w:r w:rsidRPr="003D62DA">
        <w:rPr>
          <w:rFonts w:ascii="Times New Roman" w:hAnsi="Times New Roman" w:cs="Times New Roman"/>
          <w:sz w:val="24"/>
          <w:szCs w:val="24"/>
        </w:rPr>
        <w:t>u 202</w:t>
      </w:r>
      <w:r w:rsidR="000F5211">
        <w:rPr>
          <w:rFonts w:ascii="Times New Roman" w:hAnsi="Times New Roman" w:cs="Times New Roman"/>
          <w:sz w:val="24"/>
          <w:szCs w:val="24"/>
        </w:rPr>
        <w:t>3</w:t>
      </w:r>
      <w:r w:rsidRPr="003D62DA">
        <w:rPr>
          <w:rFonts w:ascii="Times New Roman" w:hAnsi="Times New Roman" w:cs="Times New Roman"/>
          <w:sz w:val="24"/>
          <w:szCs w:val="24"/>
        </w:rPr>
        <w:t xml:space="preserve">. godini planirani su u iznosu od </w:t>
      </w:r>
      <w:r w:rsidR="00F737B5">
        <w:rPr>
          <w:rFonts w:ascii="Times New Roman" w:hAnsi="Times New Roman" w:cs="Times New Roman"/>
          <w:sz w:val="24"/>
          <w:szCs w:val="24"/>
        </w:rPr>
        <w:t>1.061,78 €</w:t>
      </w:r>
      <w:r w:rsidR="00F0327B">
        <w:rPr>
          <w:rFonts w:ascii="Times New Roman" w:hAnsi="Times New Roman" w:cs="Times New Roman"/>
          <w:sz w:val="24"/>
          <w:szCs w:val="24"/>
        </w:rPr>
        <w:t>.</w:t>
      </w:r>
    </w:p>
    <w:p w14:paraId="64586B71" w14:textId="77777777" w:rsidR="00F0327B" w:rsidRDefault="00F0327B" w:rsidP="00F03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1EB36E" w14:textId="4252C6E9" w:rsidR="00840ECF" w:rsidRDefault="00840ECF" w:rsidP="00F358E4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CA5A392" w14:textId="77777777" w:rsidR="001877D1" w:rsidRDefault="001877D1" w:rsidP="00F358E4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47D65395" w14:textId="77777777" w:rsidR="00840ECF" w:rsidRDefault="00840ECF" w:rsidP="00F358E4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0451660E" w14:textId="77777777" w:rsidR="00F0327B" w:rsidRDefault="00F0327B" w:rsidP="00F358E4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F0327B">
        <w:rPr>
          <w:rFonts w:ascii="Times New Roman" w:hAnsi="Times New Roman" w:cs="Times New Roman"/>
          <w:b/>
          <w:bCs/>
        </w:rPr>
        <w:t>5. RASHODI PO ORGANIZACIJSKOJ KLASIFIKACIJI</w:t>
      </w:r>
    </w:p>
    <w:p w14:paraId="41C4E248" w14:textId="77777777" w:rsidR="00F358E4" w:rsidRPr="00F358E4" w:rsidRDefault="00F358E4" w:rsidP="00F358E4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929AAAA" w14:textId="77777777" w:rsidR="00C52E6D" w:rsidRDefault="00F0327B" w:rsidP="00F03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47721">
        <w:rPr>
          <w:rFonts w:ascii="Times New Roman" w:hAnsi="Times New Roman" w:cs="Times New Roman"/>
          <w:sz w:val="24"/>
          <w:szCs w:val="24"/>
        </w:rPr>
        <w:t xml:space="preserve">ashodi i izdaci koji se predlažu u Prijedlogu Proračuna Općine </w:t>
      </w:r>
      <w:r w:rsidR="00DB70C9">
        <w:rPr>
          <w:rFonts w:ascii="Times New Roman" w:hAnsi="Times New Roman" w:cs="Times New Roman"/>
          <w:sz w:val="24"/>
          <w:szCs w:val="24"/>
        </w:rPr>
        <w:t>Dvor</w:t>
      </w:r>
      <w:r w:rsidRPr="00D47721">
        <w:rPr>
          <w:rFonts w:ascii="Times New Roman" w:hAnsi="Times New Roman" w:cs="Times New Roman"/>
          <w:sz w:val="24"/>
          <w:szCs w:val="24"/>
        </w:rPr>
        <w:t xml:space="preserve"> za 202</w:t>
      </w:r>
      <w:r w:rsidR="00840ECF">
        <w:rPr>
          <w:rFonts w:ascii="Times New Roman" w:hAnsi="Times New Roman" w:cs="Times New Roman"/>
          <w:sz w:val="24"/>
          <w:szCs w:val="24"/>
        </w:rPr>
        <w:t>3</w:t>
      </w:r>
      <w:r w:rsidRPr="00D47721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 xml:space="preserve">planirani su po organizacijskoj klasifikaciji kako slijedi: </w:t>
      </w:r>
    </w:p>
    <w:tbl>
      <w:tblPr>
        <w:tblW w:w="7340" w:type="dxa"/>
        <w:tblLook w:val="04A0" w:firstRow="1" w:lastRow="0" w:firstColumn="1" w:lastColumn="0" w:noHBand="0" w:noVBand="1"/>
      </w:tblPr>
      <w:tblGrid>
        <w:gridCol w:w="5200"/>
        <w:gridCol w:w="2140"/>
      </w:tblGrid>
      <w:tr w:rsidR="00AF7F43" w:rsidRPr="00AF7F43" w14:paraId="4AB15544" w14:textId="77777777" w:rsidTr="00AF7F4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12AE" w14:textId="77777777" w:rsidR="00AF7F43" w:rsidRPr="006D33F8" w:rsidRDefault="00AF7F43" w:rsidP="006D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A66C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Predstavnička i izvršna tijela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A454D" w14:textId="0EC9F8CD" w:rsidR="00AF7F43" w:rsidRPr="006D33F8" w:rsidRDefault="00F737B5" w:rsidP="006D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79.116,07</w:t>
            </w:r>
          </w:p>
        </w:tc>
      </w:tr>
      <w:tr w:rsidR="00AF7F43" w:rsidRPr="00AF7F43" w14:paraId="09D71E4D" w14:textId="77777777" w:rsidTr="00AF7F4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0F7AF" w14:textId="77777777" w:rsidR="00AF7F43" w:rsidRPr="006D33F8" w:rsidRDefault="00AF7F43" w:rsidP="006D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A66C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Savjetodavna tijela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AB037" w14:textId="0E5B0376" w:rsidR="00AF7F43" w:rsidRPr="006D33F8" w:rsidRDefault="00F737B5" w:rsidP="006D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37.494,19</w:t>
            </w:r>
          </w:p>
        </w:tc>
      </w:tr>
      <w:tr w:rsidR="00AF7F43" w:rsidRPr="00AF7F43" w14:paraId="2D006F88" w14:textId="77777777" w:rsidTr="00AF7F4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2E2A" w14:textId="77777777" w:rsidR="00AF7F43" w:rsidRPr="006D33F8" w:rsidRDefault="00AF7F43" w:rsidP="006D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A66C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1D1F4" w14:textId="49A7B836" w:rsidR="00AF7F43" w:rsidRPr="006D33F8" w:rsidRDefault="00DB70C9" w:rsidP="00DB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="00F737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1.</w:t>
            </w:r>
            <w:r w:rsidR="001877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589.859,94</w:t>
            </w:r>
          </w:p>
        </w:tc>
      </w:tr>
      <w:tr w:rsidR="00AF7F43" w:rsidRPr="00AF7F43" w14:paraId="7C989A16" w14:textId="77777777" w:rsidTr="00AF7F4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91D9" w14:textId="77777777" w:rsidR="00AF7F43" w:rsidRPr="006D33F8" w:rsidRDefault="00AF7F43" w:rsidP="006D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DB7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Korisnik </w:t>
            </w:r>
            <w:r w:rsidR="00A66C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Knjižnica i čitaonica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ED259" w14:textId="500697C8" w:rsidR="00AF7F43" w:rsidRPr="006D33F8" w:rsidRDefault="00DB70C9" w:rsidP="00DB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</w:t>
            </w:r>
            <w:r w:rsidR="00F737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34.335,38</w:t>
            </w:r>
          </w:p>
        </w:tc>
      </w:tr>
      <w:tr w:rsidR="00A66C15" w:rsidRPr="00AF7F43" w14:paraId="23DB74D7" w14:textId="77777777" w:rsidTr="00AF7F4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C4491" w14:textId="77777777" w:rsidR="00A66C15" w:rsidRPr="00A66C15" w:rsidRDefault="00A66C15" w:rsidP="00A6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F2AD8" w14:textId="77777777" w:rsidR="00A66C15" w:rsidRDefault="00A66C15" w:rsidP="0084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F7F43" w:rsidRPr="00AF7F43" w14:paraId="135E7858" w14:textId="77777777" w:rsidTr="00AF7F4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23D0" w14:textId="77777777" w:rsidR="00AF7F43" w:rsidRPr="006D33F8" w:rsidRDefault="00AF7F43" w:rsidP="006D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DB7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Korisnik </w:t>
            </w:r>
            <w:r w:rsidR="00A66C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 vrtić „Sunce“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0B5E2" w14:textId="74FEBA75" w:rsidR="00AF7F43" w:rsidRPr="006D33F8" w:rsidRDefault="00F737B5" w:rsidP="006D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130.161,24</w:t>
            </w:r>
          </w:p>
        </w:tc>
      </w:tr>
    </w:tbl>
    <w:p w14:paraId="2A3B8842" w14:textId="77777777" w:rsidR="006D33F8" w:rsidRDefault="00A66C15" w:rsidP="00A6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8E71FF9" w14:textId="77777777" w:rsidR="003351F5" w:rsidRDefault="003351F5" w:rsidP="00A6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C25EAF" w14:textId="77777777" w:rsidR="003351F5" w:rsidRPr="00A66C15" w:rsidRDefault="003351F5" w:rsidP="00A6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Tečaj konverzije (1 EUR – 7,53450 Kn)</w:t>
      </w:r>
    </w:p>
    <w:sectPr w:rsidR="003351F5" w:rsidRPr="00A66C15" w:rsidSect="0016342E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720"/>
    <w:multiLevelType w:val="hybridMultilevel"/>
    <w:tmpl w:val="7DCC7392"/>
    <w:lvl w:ilvl="0" w:tplc="58B8FB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84F8A"/>
    <w:multiLevelType w:val="hybridMultilevel"/>
    <w:tmpl w:val="314ED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25E5"/>
    <w:multiLevelType w:val="hybridMultilevel"/>
    <w:tmpl w:val="ED707622"/>
    <w:lvl w:ilvl="0" w:tplc="ACC48886">
      <w:start w:val="6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0ED7"/>
    <w:multiLevelType w:val="hybridMultilevel"/>
    <w:tmpl w:val="60E0FB20"/>
    <w:lvl w:ilvl="0" w:tplc="B66861A8">
      <w:start w:val="1"/>
      <w:numFmt w:val="decimalZero"/>
      <w:lvlText w:val="%1-"/>
      <w:lvlJc w:val="left"/>
      <w:pPr>
        <w:ind w:left="1263" w:hanging="555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A32813"/>
    <w:multiLevelType w:val="hybridMultilevel"/>
    <w:tmpl w:val="F34EB982"/>
    <w:lvl w:ilvl="0" w:tplc="AE241D9A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046E7"/>
    <w:multiLevelType w:val="hybridMultilevel"/>
    <w:tmpl w:val="CFACB782"/>
    <w:lvl w:ilvl="0" w:tplc="09429A58">
      <w:start w:val="64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2C"/>
    <w:rsid w:val="00030373"/>
    <w:rsid w:val="000541BB"/>
    <w:rsid w:val="000F5211"/>
    <w:rsid w:val="0016342E"/>
    <w:rsid w:val="00182BAA"/>
    <w:rsid w:val="001877D1"/>
    <w:rsid w:val="00187A47"/>
    <w:rsid w:val="00192F6A"/>
    <w:rsid w:val="001A7C60"/>
    <w:rsid w:val="0021075E"/>
    <w:rsid w:val="00252A77"/>
    <w:rsid w:val="00264508"/>
    <w:rsid w:val="00282222"/>
    <w:rsid w:val="00330097"/>
    <w:rsid w:val="003351F5"/>
    <w:rsid w:val="003421D5"/>
    <w:rsid w:val="00353102"/>
    <w:rsid w:val="00355CF2"/>
    <w:rsid w:val="003861D3"/>
    <w:rsid w:val="003973B5"/>
    <w:rsid w:val="00397A89"/>
    <w:rsid w:val="003D62DA"/>
    <w:rsid w:val="003F640F"/>
    <w:rsid w:val="00413ACB"/>
    <w:rsid w:val="00413D52"/>
    <w:rsid w:val="00450B6B"/>
    <w:rsid w:val="004E401A"/>
    <w:rsid w:val="00511AC4"/>
    <w:rsid w:val="00523E26"/>
    <w:rsid w:val="00554C49"/>
    <w:rsid w:val="005703A2"/>
    <w:rsid w:val="00574CCE"/>
    <w:rsid w:val="00581BE9"/>
    <w:rsid w:val="0062605B"/>
    <w:rsid w:val="006D03F8"/>
    <w:rsid w:val="006D33F8"/>
    <w:rsid w:val="00712D41"/>
    <w:rsid w:val="00721112"/>
    <w:rsid w:val="00747D0C"/>
    <w:rsid w:val="007579B0"/>
    <w:rsid w:val="007673E3"/>
    <w:rsid w:val="00771ACB"/>
    <w:rsid w:val="00771F5B"/>
    <w:rsid w:val="007D3E8A"/>
    <w:rsid w:val="007E4051"/>
    <w:rsid w:val="00801B86"/>
    <w:rsid w:val="00803B0C"/>
    <w:rsid w:val="00811BE4"/>
    <w:rsid w:val="00824E61"/>
    <w:rsid w:val="00840ECF"/>
    <w:rsid w:val="008451C5"/>
    <w:rsid w:val="008459AC"/>
    <w:rsid w:val="00847849"/>
    <w:rsid w:val="00850C0E"/>
    <w:rsid w:val="00873A84"/>
    <w:rsid w:val="008F1881"/>
    <w:rsid w:val="00901E43"/>
    <w:rsid w:val="00912554"/>
    <w:rsid w:val="00947E84"/>
    <w:rsid w:val="00960497"/>
    <w:rsid w:val="009A1778"/>
    <w:rsid w:val="009E472C"/>
    <w:rsid w:val="00A307E2"/>
    <w:rsid w:val="00A40F56"/>
    <w:rsid w:val="00A63BCC"/>
    <w:rsid w:val="00A66C15"/>
    <w:rsid w:val="00A77AE4"/>
    <w:rsid w:val="00A91916"/>
    <w:rsid w:val="00AF534C"/>
    <w:rsid w:val="00AF6F6A"/>
    <w:rsid w:val="00AF7F43"/>
    <w:rsid w:val="00B44D16"/>
    <w:rsid w:val="00B57B05"/>
    <w:rsid w:val="00B86891"/>
    <w:rsid w:val="00BB368F"/>
    <w:rsid w:val="00C34FEB"/>
    <w:rsid w:val="00C52E6D"/>
    <w:rsid w:val="00D21CCD"/>
    <w:rsid w:val="00D47721"/>
    <w:rsid w:val="00DB70C9"/>
    <w:rsid w:val="00E56F80"/>
    <w:rsid w:val="00EE581E"/>
    <w:rsid w:val="00F0327B"/>
    <w:rsid w:val="00F05E3B"/>
    <w:rsid w:val="00F33C9F"/>
    <w:rsid w:val="00F34E0F"/>
    <w:rsid w:val="00F358E4"/>
    <w:rsid w:val="00F5037B"/>
    <w:rsid w:val="00F737B5"/>
    <w:rsid w:val="00F74DC8"/>
    <w:rsid w:val="00F8312F"/>
    <w:rsid w:val="00F83E6F"/>
    <w:rsid w:val="00FA1958"/>
    <w:rsid w:val="00FE2853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D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472C"/>
    <w:pPr>
      <w:ind w:left="720"/>
      <w:contextualSpacing/>
    </w:pPr>
  </w:style>
  <w:style w:type="table" w:styleId="Reetkatablice">
    <w:name w:val="Table Grid"/>
    <w:basedOn w:val="Obinatablica"/>
    <w:uiPriority w:val="39"/>
    <w:rsid w:val="003F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D33F8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472C"/>
    <w:pPr>
      <w:ind w:left="720"/>
      <w:contextualSpacing/>
    </w:pPr>
  </w:style>
  <w:style w:type="table" w:styleId="Reetkatablice">
    <w:name w:val="Table Grid"/>
    <w:basedOn w:val="Obinatablica"/>
    <w:uiPriority w:val="39"/>
    <w:rsid w:val="003F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D33F8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BAC6-79F8-40B6-999A-159374F0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2244</Words>
  <Characters>12791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2022-12-15T07:14:00Z</cp:lastPrinted>
  <dcterms:created xsi:type="dcterms:W3CDTF">2022-12-19T08:30:00Z</dcterms:created>
  <dcterms:modified xsi:type="dcterms:W3CDTF">2022-12-19T08:30:00Z</dcterms:modified>
</cp:coreProperties>
</file>